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014" w:rsidRDefault="002D6014" w:rsidP="002D6014">
      <w:pPr>
        <w:pStyle w:val="Title"/>
        <w:rPr>
          <w:rFonts w:asciiTheme="minorHAnsi" w:hAnsiTheme="minorHAnsi"/>
        </w:rPr>
      </w:pPr>
      <w:r w:rsidRPr="00920951">
        <w:rPr>
          <w:noProof/>
          <w:lang w:eastAsia="zh-CN"/>
        </w:rPr>
        <w:drawing>
          <wp:inline distT="0" distB="0" distL="0" distR="0" wp14:anchorId="122D4E0C" wp14:editId="6F17D216">
            <wp:extent cx="1810586" cy="1280160"/>
            <wp:effectExtent l="0" t="0" r="0" b="0"/>
            <wp:docPr id="1" name="Picture 1" descr="P:\SPM\GBS\pp\PP-18\logo\TRA ITU PP18 Logo FINAL APPROVE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PM\GBS\pp\PP-18\logo\TRA ITU PP18 Logo FINAL APPROVED-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2750" cy="1281690"/>
                    </a:xfrm>
                    <a:prstGeom prst="rect">
                      <a:avLst/>
                    </a:prstGeom>
                    <a:noFill/>
                    <a:ln>
                      <a:noFill/>
                    </a:ln>
                  </pic:spPr>
                </pic:pic>
              </a:graphicData>
            </a:graphic>
          </wp:inline>
        </w:drawing>
      </w:r>
    </w:p>
    <w:p w:rsidR="002D6014" w:rsidRPr="002D6014" w:rsidRDefault="002D6014" w:rsidP="002D6014">
      <w:pPr>
        <w:pBdr>
          <w:bottom w:val="single" w:sz="12" w:space="1" w:color="auto"/>
        </w:pBdr>
        <w:spacing w:before="0"/>
        <w:jc w:val="center"/>
        <w:rPr>
          <w:rFonts w:asciiTheme="minorHAnsi" w:hAnsiTheme="minorHAnsi"/>
          <w:b/>
          <w:bCs/>
          <w:sz w:val="16"/>
        </w:rPr>
      </w:pPr>
    </w:p>
    <w:p w:rsidR="00AD4682" w:rsidRPr="00AD4682" w:rsidRDefault="00AD4682" w:rsidP="00AD4682">
      <w:pPr>
        <w:pBdr>
          <w:top w:val="single" w:sz="4" w:space="1" w:color="auto"/>
          <w:left w:val="single" w:sz="4" w:space="4" w:color="auto"/>
          <w:bottom w:val="single" w:sz="4" w:space="0" w:color="auto"/>
          <w:right w:val="single" w:sz="4" w:space="4" w:color="auto"/>
        </w:pBdr>
        <w:shd w:val="clear" w:color="auto" w:fill="D9D9D9" w:themeFill="background1" w:themeFillShade="D9"/>
        <w:tabs>
          <w:tab w:val="clear" w:pos="567"/>
          <w:tab w:val="clear" w:pos="1134"/>
          <w:tab w:val="clear" w:pos="1701"/>
          <w:tab w:val="clear" w:pos="2268"/>
          <w:tab w:val="clear" w:pos="2835"/>
          <w:tab w:val="left" w:pos="794"/>
          <w:tab w:val="left" w:pos="1191"/>
          <w:tab w:val="left" w:pos="1588"/>
          <w:tab w:val="left" w:pos="1985"/>
        </w:tabs>
        <w:snapToGrid w:val="0"/>
        <w:jc w:val="center"/>
        <w:rPr>
          <w:rFonts w:asciiTheme="minorHAnsi" w:eastAsiaTheme="minorEastAsia" w:hAnsiTheme="minorHAnsi" w:cstheme="majorBidi"/>
          <w:b/>
          <w:bCs/>
          <w:smallCaps/>
          <w:lang w:eastAsia="zh-CN"/>
        </w:rPr>
      </w:pPr>
      <w:bookmarkStart w:id="0" w:name="_GoBack"/>
      <w:bookmarkEnd w:id="0"/>
      <w:r w:rsidRPr="00AD4682">
        <w:rPr>
          <w:rFonts w:asciiTheme="minorHAnsi" w:eastAsiaTheme="minorEastAsia" w:hAnsiTheme="minorHAnsi" w:cstheme="majorBidi" w:hint="eastAsia"/>
          <w:b/>
          <w:bCs/>
          <w:smallCaps/>
          <w:lang w:eastAsia="zh-CN"/>
        </w:rPr>
        <w:t>准则：</w:t>
      </w:r>
    </w:p>
    <w:p w:rsidR="00AD4682" w:rsidRPr="00AD4682" w:rsidRDefault="00AD4682" w:rsidP="00AD4682">
      <w:pPr>
        <w:pBdr>
          <w:top w:val="single" w:sz="4" w:space="1" w:color="auto"/>
          <w:left w:val="single" w:sz="4" w:space="4" w:color="auto"/>
          <w:bottom w:val="single" w:sz="4" w:space="0" w:color="auto"/>
          <w:right w:val="single" w:sz="4" w:space="4" w:color="auto"/>
        </w:pBdr>
        <w:shd w:val="clear" w:color="auto" w:fill="D9D9D9" w:themeFill="background1" w:themeFillShade="D9"/>
        <w:tabs>
          <w:tab w:val="clear" w:pos="567"/>
          <w:tab w:val="clear" w:pos="1134"/>
          <w:tab w:val="clear" w:pos="1701"/>
          <w:tab w:val="clear" w:pos="2268"/>
          <w:tab w:val="clear" w:pos="2835"/>
          <w:tab w:val="left" w:pos="794"/>
          <w:tab w:val="left" w:pos="1191"/>
          <w:tab w:val="left" w:pos="1588"/>
          <w:tab w:val="left" w:pos="1985"/>
        </w:tabs>
        <w:snapToGrid w:val="0"/>
        <w:jc w:val="center"/>
        <w:rPr>
          <w:rFonts w:asciiTheme="minorHAnsi" w:eastAsiaTheme="minorEastAsia" w:hAnsiTheme="minorHAnsi" w:cstheme="majorBidi"/>
          <w:b/>
          <w:bCs/>
          <w:smallCaps/>
          <w:lang w:eastAsia="zh-CN"/>
        </w:rPr>
      </w:pPr>
      <w:r w:rsidRPr="00AD4682">
        <w:rPr>
          <w:rFonts w:asciiTheme="minorHAnsi" w:eastAsiaTheme="minorEastAsia" w:hAnsiTheme="minorHAnsi" w:cstheme="majorBidi" w:hint="eastAsia"/>
          <w:b/>
          <w:bCs/>
          <w:smallCaps/>
          <w:lang w:eastAsia="zh-CN"/>
        </w:rPr>
        <w:t>2018</w:t>
      </w:r>
      <w:r w:rsidRPr="00AD4682">
        <w:rPr>
          <w:rFonts w:asciiTheme="minorHAnsi" w:eastAsiaTheme="minorEastAsia" w:hAnsiTheme="minorHAnsi" w:cstheme="majorBidi" w:hint="eastAsia"/>
          <w:b/>
          <w:bCs/>
          <w:smallCaps/>
          <w:lang w:eastAsia="zh-CN"/>
        </w:rPr>
        <w:t>年全权代表大会之前开展某些竞选活动的道德规范问题</w:t>
      </w:r>
    </w:p>
    <w:p w:rsidR="00AD4682" w:rsidRPr="00AD4682" w:rsidRDefault="00AD4682" w:rsidP="00AD4682">
      <w:pPr>
        <w:tabs>
          <w:tab w:val="clear" w:pos="567"/>
          <w:tab w:val="clear" w:pos="1134"/>
          <w:tab w:val="clear" w:pos="1701"/>
          <w:tab w:val="clear" w:pos="2268"/>
          <w:tab w:val="clear" w:pos="2835"/>
          <w:tab w:val="left" w:pos="794"/>
          <w:tab w:val="left" w:pos="1191"/>
          <w:tab w:val="left" w:pos="1588"/>
          <w:tab w:val="left" w:pos="1985"/>
        </w:tabs>
        <w:snapToGrid w:val="0"/>
        <w:spacing w:before="240" w:after="160"/>
        <w:ind w:firstLineChars="200" w:firstLine="480"/>
        <w:jc w:val="both"/>
        <w:rPr>
          <w:rFonts w:asciiTheme="minorHAnsi" w:eastAsiaTheme="minorEastAsia" w:hAnsiTheme="minorHAnsi" w:cstheme="majorBidi"/>
          <w:lang w:eastAsia="zh-CN"/>
        </w:rPr>
      </w:pPr>
      <w:r w:rsidRPr="00AD4682">
        <w:rPr>
          <w:rFonts w:asciiTheme="minorHAnsi" w:eastAsiaTheme="minorEastAsia" w:hAnsiTheme="minorHAnsi" w:cstheme="majorBidi" w:hint="eastAsia"/>
          <w:lang w:eastAsia="zh-CN"/>
        </w:rPr>
        <w:t>本文件提供的指导意见以现有框架和做法为基础</w:t>
      </w:r>
      <w:r w:rsidRPr="00AD4682">
        <w:rPr>
          <w:rFonts w:asciiTheme="minorHAnsi" w:eastAsiaTheme="minorEastAsia" w:hAnsiTheme="minorHAnsi" w:cstheme="majorBidi"/>
          <w:position w:val="6"/>
          <w:sz w:val="18"/>
          <w:lang w:eastAsia="zh-CN"/>
        </w:rPr>
        <w:footnoteReference w:id="1"/>
      </w:r>
      <w:r w:rsidRPr="00AD4682">
        <w:rPr>
          <w:rFonts w:asciiTheme="minorHAnsi" w:eastAsiaTheme="minorEastAsia" w:hAnsiTheme="minorHAnsi" w:cstheme="majorBidi" w:hint="eastAsia"/>
          <w:lang w:eastAsia="zh-CN"/>
        </w:rPr>
        <w:t>，主要涉及目前在国际电联任职的候选人，其中包括委任职员和选任官员。</w:t>
      </w:r>
    </w:p>
    <w:p w:rsidR="00AD4682" w:rsidRPr="00AD4682" w:rsidRDefault="00AD4682" w:rsidP="00AD4682">
      <w:pPr>
        <w:tabs>
          <w:tab w:val="clear" w:pos="567"/>
          <w:tab w:val="clear" w:pos="1134"/>
          <w:tab w:val="clear" w:pos="1701"/>
          <w:tab w:val="clear" w:pos="2268"/>
          <w:tab w:val="clear" w:pos="2835"/>
          <w:tab w:val="left" w:pos="794"/>
          <w:tab w:val="left" w:pos="1191"/>
          <w:tab w:val="left" w:pos="1588"/>
          <w:tab w:val="left" w:pos="1985"/>
        </w:tabs>
        <w:snapToGrid w:val="0"/>
        <w:spacing w:before="0" w:after="160"/>
        <w:ind w:firstLineChars="200" w:firstLine="480"/>
        <w:jc w:val="both"/>
        <w:rPr>
          <w:rFonts w:asciiTheme="minorHAnsi" w:eastAsiaTheme="minorEastAsia" w:hAnsiTheme="minorHAnsi" w:cstheme="majorBidi"/>
          <w:u w:val="single"/>
          <w:lang w:eastAsia="zh-CN"/>
        </w:rPr>
      </w:pPr>
      <w:r w:rsidRPr="00AD4682">
        <w:rPr>
          <w:rFonts w:asciiTheme="minorHAnsi" w:eastAsiaTheme="minorEastAsia" w:hAnsiTheme="minorHAnsi" w:cstheme="majorBidi" w:hint="eastAsia"/>
          <w:lang w:eastAsia="zh-CN"/>
        </w:rPr>
        <w:t>除公平、公正、透明、诚信、尊严和相互尊重等基本原则外，必须平衡现任国际电联职位与参加竞选之间关系的个人应特别注意以下三个主要方面的一般性原则：</w:t>
      </w:r>
      <w:r w:rsidRPr="00AD4682">
        <w:rPr>
          <w:rFonts w:asciiTheme="minorHAnsi" w:eastAsiaTheme="minorEastAsia" w:hAnsiTheme="minorHAnsi" w:cstheme="majorBidi"/>
          <w:lang w:eastAsia="zh-CN"/>
        </w:rPr>
        <w:t>(A</w:t>
      </w:r>
      <w:proofErr w:type="gramStart"/>
      <w:r w:rsidRPr="00AD4682">
        <w:rPr>
          <w:rFonts w:asciiTheme="minorHAnsi" w:eastAsiaTheme="minorEastAsia" w:hAnsiTheme="minorHAnsi" w:cstheme="majorBidi"/>
          <w:lang w:eastAsia="zh-CN"/>
        </w:rPr>
        <w:t>)</w:t>
      </w:r>
      <w:r w:rsidRPr="00AD4682">
        <w:rPr>
          <w:rFonts w:asciiTheme="minorHAnsi" w:eastAsiaTheme="minorEastAsia" w:hAnsiTheme="minorHAnsi" w:cstheme="majorBidi" w:hint="eastAsia"/>
          <w:lang w:eastAsia="zh-CN"/>
        </w:rPr>
        <w:t>国际电联资源的使用</w:t>
      </w:r>
      <w:proofErr w:type="gramEnd"/>
      <w:r w:rsidRPr="00AD4682">
        <w:rPr>
          <w:rFonts w:asciiTheme="minorHAnsi" w:eastAsiaTheme="minorEastAsia" w:hAnsiTheme="minorHAnsi" w:cstheme="majorBidi" w:hint="eastAsia"/>
          <w:lang w:eastAsia="zh-CN"/>
        </w:rPr>
        <w:t>；</w:t>
      </w:r>
      <w:r w:rsidRPr="00AD4682">
        <w:rPr>
          <w:rFonts w:asciiTheme="minorHAnsi" w:eastAsiaTheme="minorEastAsia" w:hAnsiTheme="minorHAnsi" w:cstheme="majorBidi"/>
          <w:lang w:eastAsia="zh-CN"/>
        </w:rPr>
        <w:t>(B)</w:t>
      </w:r>
      <w:r w:rsidRPr="00AD4682">
        <w:rPr>
          <w:rFonts w:asciiTheme="minorHAnsi" w:eastAsiaTheme="minorEastAsia" w:hAnsiTheme="minorHAnsi" w:cstheme="majorBidi" w:hint="eastAsia"/>
          <w:lang w:eastAsia="zh-CN"/>
        </w:rPr>
        <w:t xml:space="preserve"> </w:t>
      </w:r>
      <w:r w:rsidRPr="00AD4682">
        <w:rPr>
          <w:rFonts w:asciiTheme="minorHAnsi" w:eastAsiaTheme="minorEastAsia" w:hAnsiTheme="minorHAnsi" w:cstheme="majorBidi" w:hint="eastAsia"/>
          <w:lang w:eastAsia="zh-CN"/>
        </w:rPr>
        <w:t>围绕国际电联重大活动举办的竞选活动；</w:t>
      </w:r>
      <w:r w:rsidRPr="00AD4682">
        <w:rPr>
          <w:rFonts w:asciiTheme="minorHAnsi" w:eastAsiaTheme="minorEastAsia" w:hAnsiTheme="minorHAnsi" w:cstheme="majorBidi"/>
          <w:lang w:eastAsia="zh-CN"/>
        </w:rPr>
        <w:t>(C)</w:t>
      </w:r>
      <w:r w:rsidRPr="00AD4682">
        <w:rPr>
          <w:rFonts w:asciiTheme="minorHAnsi" w:eastAsiaTheme="minorEastAsia" w:hAnsiTheme="minorHAnsi" w:cstheme="majorBidi" w:hint="eastAsia"/>
          <w:lang w:eastAsia="zh-CN"/>
        </w:rPr>
        <w:t>与成员国代表的接触。</w:t>
      </w:r>
    </w:p>
    <w:p w:rsidR="00AD4682" w:rsidRPr="00AD4682" w:rsidRDefault="00AD4682" w:rsidP="00AD4682">
      <w:pPr>
        <w:tabs>
          <w:tab w:val="clear" w:pos="567"/>
          <w:tab w:val="clear" w:pos="1134"/>
          <w:tab w:val="clear" w:pos="1701"/>
          <w:tab w:val="clear" w:pos="2268"/>
          <w:tab w:val="clear" w:pos="2835"/>
          <w:tab w:val="left" w:pos="794"/>
          <w:tab w:val="left" w:pos="1191"/>
          <w:tab w:val="left" w:pos="1588"/>
          <w:tab w:val="left" w:pos="1985"/>
          <w:tab w:val="left" w:pos="2608"/>
          <w:tab w:val="left" w:pos="3345"/>
        </w:tabs>
        <w:ind w:left="794" w:hanging="794"/>
        <w:rPr>
          <w:rFonts w:eastAsia="SimSun"/>
          <w:lang w:eastAsia="zh-CN"/>
        </w:rPr>
      </w:pPr>
      <w:r w:rsidRPr="00AD4682">
        <w:rPr>
          <w:rFonts w:eastAsia="SimSun" w:hint="eastAsia"/>
          <w:lang w:eastAsia="zh-CN"/>
        </w:rPr>
        <w:t>A</w:t>
      </w:r>
      <w:r w:rsidRPr="00AD4682">
        <w:rPr>
          <w:rFonts w:eastAsia="SimSun"/>
          <w:lang w:eastAsia="zh-CN"/>
        </w:rPr>
        <w:t>)</w:t>
      </w:r>
      <w:r w:rsidRPr="00AD4682">
        <w:rPr>
          <w:rFonts w:eastAsia="SimSun"/>
          <w:lang w:eastAsia="zh-CN"/>
        </w:rPr>
        <w:tab/>
      </w:r>
      <w:r w:rsidRPr="00AD4682">
        <w:rPr>
          <w:rFonts w:eastAsia="SimSun" w:hint="eastAsia"/>
          <w:u w:val="single"/>
          <w:lang w:eastAsia="zh-CN"/>
        </w:rPr>
        <w:t>国际电联资源的使用</w:t>
      </w:r>
    </w:p>
    <w:p w:rsidR="00AD4682" w:rsidRPr="00AD4682" w:rsidRDefault="00AD4682" w:rsidP="00AD4682">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before="160"/>
        <w:textAlignment w:val="auto"/>
        <w:rPr>
          <w:rFonts w:eastAsia="SimSun"/>
          <w:b/>
          <w:lang w:eastAsia="zh-CN"/>
        </w:rPr>
      </w:pPr>
      <w:r w:rsidRPr="00AD4682">
        <w:rPr>
          <w:rFonts w:eastAsia="SimSun" w:hint="eastAsia"/>
          <w:b/>
          <w:lang w:eastAsia="zh-CN"/>
        </w:rPr>
        <w:t>一般性原则：</w:t>
      </w:r>
    </w:p>
    <w:p w:rsidR="00AD4682" w:rsidRPr="00AD4682" w:rsidRDefault="00AD4682" w:rsidP="00AD4682">
      <w:pPr>
        <w:tabs>
          <w:tab w:val="clear" w:pos="567"/>
          <w:tab w:val="clear" w:pos="1134"/>
          <w:tab w:val="clear" w:pos="1701"/>
          <w:tab w:val="clear" w:pos="2268"/>
          <w:tab w:val="clear" w:pos="2835"/>
          <w:tab w:val="left" w:pos="794"/>
          <w:tab w:val="left" w:pos="1191"/>
          <w:tab w:val="left" w:pos="1588"/>
          <w:tab w:val="left" w:pos="1985"/>
          <w:tab w:val="left" w:pos="2608"/>
          <w:tab w:val="left" w:pos="3345"/>
        </w:tabs>
        <w:ind w:left="794" w:hanging="794"/>
        <w:rPr>
          <w:rFonts w:eastAsia="SimSun"/>
          <w:u w:val="single"/>
          <w:lang w:eastAsia="zh-CN"/>
        </w:rPr>
      </w:pPr>
      <w:r w:rsidRPr="00AD4682">
        <w:rPr>
          <w:rFonts w:eastAsia="SimSun"/>
          <w:lang w:eastAsia="zh-CN"/>
        </w:rPr>
        <w:t>•</w:t>
      </w:r>
      <w:r w:rsidRPr="00AD4682">
        <w:rPr>
          <w:rFonts w:eastAsia="SimSun"/>
          <w:lang w:eastAsia="zh-CN"/>
        </w:rPr>
        <w:tab/>
      </w:r>
      <w:r w:rsidRPr="00AD4682">
        <w:rPr>
          <w:rFonts w:eastAsia="SimSun" w:hint="eastAsia"/>
          <w:b/>
          <w:bCs/>
          <w:lang w:eastAsia="zh-CN"/>
        </w:rPr>
        <w:t>国际电联的资源仅可用于实现本组织的职责和促进其利益最大化。</w:t>
      </w:r>
    </w:p>
    <w:p w:rsidR="00AD4682" w:rsidRPr="00AD4682" w:rsidRDefault="00AD4682" w:rsidP="00AD4682">
      <w:pPr>
        <w:tabs>
          <w:tab w:val="clear" w:pos="567"/>
          <w:tab w:val="clear" w:pos="1134"/>
          <w:tab w:val="clear" w:pos="1701"/>
          <w:tab w:val="clear" w:pos="2268"/>
          <w:tab w:val="clear" w:pos="2835"/>
          <w:tab w:val="left" w:pos="794"/>
          <w:tab w:val="left" w:pos="1191"/>
          <w:tab w:val="left" w:pos="1588"/>
          <w:tab w:val="left" w:pos="1985"/>
        </w:tabs>
        <w:rPr>
          <w:rFonts w:eastAsia="SimSun"/>
          <w:lang w:eastAsia="zh-CN"/>
        </w:rPr>
      </w:pPr>
      <w:bookmarkStart w:id="1" w:name="lt_pId097"/>
      <w:r w:rsidRPr="00AD4682">
        <w:rPr>
          <w:rFonts w:eastAsia="SimSun" w:hint="eastAsia"/>
          <w:u w:val="single"/>
          <w:lang w:eastAsia="zh-CN"/>
        </w:rPr>
        <w:t>应用</w:t>
      </w:r>
      <w:r w:rsidRPr="00AD4682">
        <w:rPr>
          <w:rFonts w:eastAsia="SimSun" w:hint="eastAsia"/>
          <w:lang w:eastAsia="zh-CN"/>
        </w:rPr>
        <w:t>：</w:t>
      </w:r>
      <w:bookmarkEnd w:id="1"/>
      <w:r w:rsidRPr="00AD4682">
        <w:rPr>
          <w:rFonts w:eastAsia="SimSun" w:hint="eastAsia"/>
          <w:lang w:eastAsia="zh-CN"/>
        </w:rPr>
        <w:t>候选人应十分注意，不得使用任何国际电</w:t>
      </w:r>
      <w:proofErr w:type="gramStart"/>
      <w:r w:rsidRPr="00AD4682">
        <w:rPr>
          <w:rFonts w:eastAsia="SimSun" w:hint="eastAsia"/>
          <w:lang w:eastAsia="zh-CN"/>
        </w:rPr>
        <w:t>联资源</w:t>
      </w:r>
      <w:proofErr w:type="gramEnd"/>
      <w:r w:rsidRPr="00AD4682">
        <w:rPr>
          <w:rFonts w:eastAsia="SimSun" w:hint="eastAsia"/>
          <w:lang w:eastAsia="zh-CN"/>
        </w:rPr>
        <w:t>或其现任职位（包括人员支持、公务旅行和费用报销，或任何办公资源）来为其助选。上述做法会使那些可获得此类资源的个人拥有不适当的优势，会允许他们不正当地从应仅用于官方用途的资源中获得个人利益。</w:t>
      </w:r>
    </w:p>
    <w:p w:rsidR="00AD4682" w:rsidRPr="00AD4682" w:rsidRDefault="00AD4682" w:rsidP="00AD4682">
      <w:pPr>
        <w:tabs>
          <w:tab w:val="clear" w:pos="567"/>
          <w:tab w:val="clear" w:pos="1134"/>
          <w:tab w:val="clear" w:pos="1701"/>
          <w:tab w:val="clear" w:pos="2268"/>
          <w:tab w:val="clear" w:pos="2835"/>
          <w:tab w:val="left" w:pos="794"/>
          <w:tab w:val="left" w:pos="1191"/>
          <w:tab w:val="left" w:pos="1588"/>
          <w:tab w:val="left" w:pos="1985"/>
        </w:tabs>
        <w:spacing w:after="160"/>
        <w:jc w:val="both"/>
        <w:rPr>
          <w:rFonts w:ascii="STKaiti" w:eastAsia="STKaiti" w:hAnsi="STKaiti" w:cstheme="majorBidi"/>
          <w:lang w:eastAsia="zh-CN"/>
        </w:rPr>
      </w:pPr>
      <w:r w:rsidRPr="00AD4682">
        <w:rPr>
          <w:rFonts w:ascii="STKaiti" w:eastAsia="STKaiti" w:hAnsi="STKaiti" w:cstheme="majorBidi" w:hint="eastAsia"/>
          <w:lang w:eastAsia="zh-CN"/>
        </w:rPr>
        <w:t>例如：</w:t>
      </w:r>
    </w:p>
    <w:p w:rsidR="00AD4682" w:rsidRPr="00AD4682" w:rsidRDefault="00AD4682" w:rsidP="00AD4682">
      <w:pPr>
        <w:tabs>
          <w:tab w:val="clear" w:pos="567"/>
          <w:tab w:val="clear" w:pos="1134"/>
          <w:tab w:val="clear" w:pos="1701"/>
          <w:tab w:val="clear" w:pos="2268"/>
          <w:tab w:val="clear" w:pos="2835"/>
          <w:tab w:val="left" w:pos="794"/>
        </w:tabs>
        <w:autoSpaceDE/>
        <w:autoSpaceDN/>
        <w:adjustRightInd/>
        <w:snapToGrid w:val="0"/>
        <w:spacing w:before="80"/>
        <w:ind w:left="794" w:hanging="794"/>
        <w:textAlignment w:val="auto"/>
        <w:rPr>
          <w:rFonts w:asciiTheme="minorHAnsi" w:eastAsiaTheme="minorEastAsia" w:hAnsiTheme="minorHAnsi" w:cstheme="majorBidi"/>
          <w:lang w:eastAsia="zh-CN"/>
        </w:rPr>
      </w:pPr>
      <w:r w:rsidRPr="00AD4682">
        <w:rPr>
          <w:rFonts w:asciiTheme="minorHAnsi" w:eastAsiaTheme="minorEastAsia" w:hAnsiTheme="minorHAnsi" w:cstheme="majorBidi"/>
          <w:lang w:eastAsia="zh-CN"/>
        </w:rPr>
        <w:t>•</w:t>
      </w:r>
      <w:r w:rsidRPr="00AD4682">
        <w:rPr>
          <w:rFonts w:asciiTheme="minorHAnsi" w:eastAsiaTheme="minorEastAsia" w:hAnsiTheme="minorHAnsi" w:cstheme="majorBidi"/>
          <w:lang w:eastAsia="zh-CN"/>
        </w:rPr>
        <w:tab/>
      </w:r>
      <w:r w:rsidRPr="00AD4682">
        <w:rPr>
          <w:rFonts w:asciiTheme="minorHAnsi" w:eastAsiaTheme="minorEastAsia" w:hAnsiTheme="minorHAnsi" w:cstheme="majorBidi" w:hint="eastAsia"/>
          <w:lang w:eastAsia="zh-CN"/>
        </w:rPr>
        <w:t>对于在担任国际电联公职期间其正常工作通常</w:t>
      </w:r>
      <w:r w:rsidRPr="00AD4682">
        <w:rPr>
          <w:rFonts w:asciiTheme="minorHAnsi" w:eastAsiaTheme="minorEastAsia" w:hAnsiTheme="minorHAnsi" w:cstheme="majorBidi" w:hint="eastAsia"/>
          <w:u w:val="single"/>
          <w:lang w:eastAsia="zh-CN"/>
        </w:rPr>
        <w:t>不</w:t>
      </w:r>
      <w:r w:rsidRPr="00AD4682">
        <w:rPr>
          <w:rFonts w:asciiTheme="minorHAnsi" w:eastAsiaTheme="minorEastAsia" w:hAnsiTheme="minorHAnsi" w:cstheme="majorBidi" w:hint="eastAsia"/>
          <w:lang w:eastAsia="zh-CN"/>
        </w:rPr>
        <w:t>会涉及参加某项活动的旅行者，</w:t>
      </w:r>
      <w:r w:rsidRPr="00AD4682">
        <w:rPr>
          <w:rFonts w:asciiTheme="minorHAnsi" w:eastAsiaTheme="minorEastAsia" w:hAnsiTheme="minorHAnsi" w:cstheme="majorBidi" w:hint="eastAsia"/>
          <w:u w:val="single"/>
          <w:lang w:eastAsia="zh-CN"/>
        </w:rPr>
        <w:t>不</w:t>
      </w:r>
      <w:r w:rsidRPr="00AD4682">
        <w:rPr>
          <w:rFonts w:asciiTheme="minorHAnsi" w:eastAsiaTheme="minorEastAsia" w:hAnsiTheme="minorHAnsi" w:cstheme="majorBidi" w:hint="eastAsia"/>
          <w:lang w:eastAsia="zh-CN"/>
        </w:rPr>
        <w:t>应参加或者获授权参加此类活动的公务差旅。反之，如果一位现任职员的正常公务职责通常需要其参加某项活动，则其参加竞选的身份不应妨碍此类活动的出席。欲进一步了解有关官方活动或差旅期间的行为指南，请见下文。</w:t>
      </w:r>
    </w:p>
    <w:p w:rsidR="00AD4682" w:rsidRPr="00AD4682" w:rsidRDefault="00AD4682" w:rsidP="00AD4682">
      <w:pPr>
        <w:tabs>
          <w:tab w:val="clear" w:pos="567"/>
          <w:tab w:val="clear" w:pos="1134"/>
          <w:tab w:val="clear" w:pos="1701"/>
          <w:tab w:val="clear" w:pos="2268"/>
          <w:tab w:val="clear" w:pos="2835"/>
          <w:tab w:val="left" w:pos="794"/>
        </w:tabs>
        <w:autoSpaceDE/>
        <w:autoSpaceDN/>
        <w:adjustRightInd/>
        <w:snapToGrid w:val="0"/>
        <w:spacing w:before="80"/>
        <w:ind w:left="794" w:hanging="794"/>
        <w:textAlignment w:val="auto"/>
        <w:rPr>
          <w:rFonts w:asciiTheme="minorHAnsi" w:eastAsiaTheme="minorEastAsia" w:hAnsiTheme="minorHAnsi" w:cstheme="majorBidi"/>
          <w:lang w:eastAsia="zh-CN"/>
        </w:rPr>
      </w:pPr>
      <w:r w:rsidRPr="00AD4682">
        <w:rPr>
          <w:rFonts w:asciiTheme="minorHAnsi" w:eastAsiaTheme="minorEastAsia" w:hAnsiTheme="minorHAnsi" w:cstheme="majorBidi"/>
          <w:lang w:eastAsia="zh-CN"/>
        </w:rPr>
        <w:t>•</w:t>
      </w:r>
      <w:r w:rsidRPr="00AD4682">
        <w:rPr>
          <w:rFonts w:asciiTheme="minorHAnsi" w:eastAsiaTheme="minorEastAsia" w:hAnsiTheme="minorHAnsi" w:cstheme="majorBidi"/>
          <w:lang w:eastAsia="zh-CN"/>
        </w:rPr>
        <w:tab/>
      </w:r>
      <w:r w:rsidRPr="00AD4682">
        <w:rPr>
          <w:rFonts w:asciiTheme="minorHAnsi" w:eastAsiaTheme="minorEastAsia" w:hAnsiTheme="minorHAnsi" w:cstheme="majorBidi" w:hint="eastAsia"/>
          <w:lang w:eastAsia="zh-CN"/>
        </w:rPr>
        <w:t>不得在任何材料中使用任何国际电联标志（即，国际电联旗帜和</w:t>
      </w:r>
      <w:r w:rsidRPr="00AD4682">
        <w:rPr>
          <w:rFonts w:asciiTheme="minorHAnsi" w:eastAsiaTheme="minorEastAsia" w:hAnsiTheme="minorHAnsi" w:cstheme="majorBidi" w:hint="eastAsia"/>
          <w:lang w:eastAsia="zh-CN"/>
        </w:rPr>
        <w:t>/</w:t>
      </w:r>
      <w:r w:rsidRPr="00AD4682">
        <w:rPr>
          <w:rFonts w:asciiTheme="minorHAnsi" w:eastAsiaTheme="minorEastAsia" w:hAnsiTheme="minorHAnsi" w:cstheme="majorBidi" w:hint="eastAsia"/>
          <w:lang w:eastAsia="zh-CN"/>
        </w:rPr>
        <w:t>或徽记或国际电联安排的具体大会的徽标）进行助选。这可能会不恰当地造成候选人得到官方认可的假象。道德规范办公室（</w:t>
      </w:r>
      <w:r w:rsidRPr="00AD4682">
        <w:rPr>
          <w:rFonts w:asciiTheme="minorHAnsi" w:eastAsiaTheme="minorEastAsia" w:hAnsiTheme="minorHAnsi" w:cstheme="majorBidi"/>
          <w:lang w:eastAsia="zh-CN"/>
        </w:rPr>
        <w:t>ETO</w:t>
      </w:r>
      <w:r w:rsidRPr="00AD4682">
        <w:rPr>
          <w:rFonts w:asciiTheme="minorHAnsi" w:eastAsiaTheme="minorEastAsia" w:hAnsiTheme="minorHAnsi" w:cstheme="majorBidi" w:hint="eastAsia"/>
          <w:lang w:eastAsia="zh-CN"/>
        </w:rPr>
        <w:t>）可审查材料草案并就任何具体案例提出意见建议。</w:t>
      </w:r>
    </w:p>
    <w:p w:rsidR="00AD4682" w:rsidRPr="00AD4682" w:rsidRDefault="00AD4682" w:rsidP="00AD4682">
      <w:pPr>
        <w:tabs>
          <w:tab w:val="clear" w:pos="567"/>
          <w:tab w:val="clear" w:pos="1134"/>
          <w:tab w:val="clear" w:pos="1701"/>
          <w:tab w:val="clear" w:pos="2268"/>
          <w:tab w:val="clear" w:pos="2835"/>
          <w:tab w:val="left" w:pos="794"/>
        </w:tabs>
        <w:autoSpaceDE/>
        <w:autoSpaceDN/>
        <w:adjustRightInd/>
        <w:snapToGrid w:val="0"/>
        <w:spacing w:before="80"/>
        <w:ind w:left="794" w:hanging="794"/>
        <w:textAlignment w:val="auto"/>
        <w:rPr>
          <w:rFonts w:asciiTheme="minorHAnsi" w:eastAsiaTheme="minorEastAsia" w:hAnsiTheme="minorHAnsi" w:cstheme="majorBidi"/>
          <w:lang w:eastAsia="zh-CN"/>
        </w:rPr>
      </w:pPr>
      <w:r w:rsidRPr="00AD4682">
        <w:rPr>
          <w:rFonts w:asciiTheme="minorHAnsi" w:eastAsiaTheme="minorEastAsia" w:hAnsiTheme="minorHAnsi" w:cstheme="majorBidi"/>
          <w:lang w:eastAsia="zh-CN"/>
        </w:rPr>
        <w:t>•</w:t>
      </w:r>
      <w:r w:rsidRPr="00AD4682">
        <w:rPr>
          <w:rFonts w:asciiTheme="minorHAnsi" w:eastAsiaTheme="minorEastAsia" w:hAnsiTheme="minorHAnsi" w:cstheme="majorBidi"/>
          <w:lang w:eastAsia="zh-CN"/>
        </w:rPr>
        <w:tab/>
      </w:r>
      <w:r w:rsidRPr="00AD4682">
        <w:rPr>
          <w:rFonts w:asciiTheme="minorHAnsi" w:eastAsiaTheme="minorEastAsia" w:hAnsiTheme="minorHAnsi" w:cstheme="majorBidi" w:hint="eastAsia"/>
          <w:lang w:eastAsia="zh-CN"/>
        </w:rPr>
        <w:t>国际电联的计算机、打印机、宣传渠道（其中包括国际电联的社交媒体账户）以及国际电联信笺抬头不应用于任何竞选活动。应使用私人电子邮件账户（非国际</w:t>
      </w:r>
      <w:proofErr w:type="gramStart"/>
      <w:r w:rsidRPr="00AD4682">
        <w:rPr>
          <w:rFonts w:asciiTheme="minorHAnsi" w:eastAsiaTheme="minorEastAsia" w:hAnsiTheme="minorHAnsi" w:cstheme="majorBidi" w:hint="eastAsia"/>
          <w:lang w:eastAsia="zh-CN"/>
        </w:rPr>
        <w:t>电联系</w:t>
      </w:r>
      <w:proofErr w:type="gramEnd"/>
      <w:r w:rsidRPr="00AD4682">
        <w:rPr>
          <w:rFonts w:asciiTheme="minorHAnsi" w:eastAsiaTheme="minorEastAsia" w:hAnsiTheme="minorHAnsi" w:cstheme="majorBidi" w:hint="eastAsia"/>
          <w:lang w:eastAsia="zh-CN"/>
        </w:rPr>
        <w:t>统的账户）进行与竞选活动有关的通信。如有人与候选人的国际电联账户联系、涉及其竞选事宜，候选人应将相关信函转至私人账户，并通过该渠道进行之后的联系。</w:t>
      </w:r>
    </w:p>
    <w:p w:rsidR="00AD4682" w:rsidRPr="00AD4682" w:rsidRDefault="00AD4682" w:rsidP="00AD4682">
      <w:pPr>
        <w:tabs>
          <w:tab w:val="clear" w:pos="567"/>
          <w:tab w:val="clear" w:pos="1134"/>
          <w:tab w:val="clear" w:pos="1701"/>
          <w:tab w:val="clear" w:pos="2268"/>
          <w:tab w:val="clear" w:pos="2835"/>
          <w:tab w:val="left" w:pos="794"/>
        </w:tabs>
        <w:autoSpaceDE/>
        <w:autoSpaceDN/>
        <w:adjustRightInd/>
        <w:snapToGrid w:val="0"/>
        <w:spacing w:before="80"/>
        <w:ind w:left="794" w:hanging="794"/>
        <w:textAlignment w:val="auto"/>
        <w:rPr>
          <w:rFonts w:asciiTheme="minorHAnsi" w:eastAsiaTheme="minorEastAsia" w:hAnsiTheme="minorHAnsi" w:cstheme="majorBidi"/>
          <w:u w:val="single"/>
          <w:lang w:eastAsia="zh-CN"/>
        </w:rPr>
      </w:pPr>
      <w:r w:rsidRPr="00AD4682">
        <w:rPr>
          <w:rFonts w:asciiTheme="minorHAnsi" w:eastAsiaTheme="minorEastAsia" w:hAnsiTheme="minorHAnsi" w:cstheme="majorBidi"/>
          <w:lang w:eastAsia="zh-CN"/>
        </w:rPr>
        <w:t>•</w:t>
      </w:r>
      <w:r w:rsidRPr="00AD4682">
        <w:rPr>
          <w:rFonts w:asciiTheme="minorHAnsi" w:eastAsiaTheme="minorEastAsia" w:hAnsiTheme="minorHAnsi" w:cstheme="majorBidi"/>
          <w:lang w:eastAsia="zh-CN"/>
        </w:rPr>
        <w:tab/>
      </w:r>
      <w:r w:rsidRPr="00AD4682">
        <w:rPr>
          <w:rFonts w:asciiTheme="minorHAnsi" w:eastAsiaTheme="minorEastAsia" w:hAnsiTheme="minorHAnsi" w:cstheme="majorBidi" w:hint="eastAsia"/>
          <w:lang w:eastAsia="zh-CN"/>
        </w:rPr>
        <w:t>候选人不应寻求负责国际电联宣传活动的国际电联职员（或任何其他国际电联职员）的支持、为其竞选准备任何宣传材料。这包括请求提出有关任何宣传材料的建议、图片、协助或反馈等。</w:t>
      </w:r>
    </w:p>
    <w:p w:rsidR="00AD4682" w:rsidRPr="00AD4682" w:rsidRDefault="00AD4682" w:rsidP="00AD4682">
      <w:pPr>
        <w:tabs>
          <w:tab w:val="clear" w:pos="567"/>
          <w:tab w:val="clear" w:pos="1134"/>
          <w:tab w:val="clear" w:pos="1701"/>
          <w:tab w:val="clear" w:pos="2268"/>
          <w:tab w:val="clear" w:pos="2835"/>
          <w:tab w:val="left" w:pos="794"/>
          <w:tab w:val="left" w:pos="1191"/>
          <w:tab w:val="left" w:pos="1588"/>
          <w:tab w:val="left" w:pos="1985"/>
          <w:tab w:val="left" w:pos="2608"/>
          <w:tab w:val="left" w:pos="3345"/>
        </w:tabs>
        <w:ind w:left="794" w:hanging="794"/>
        <w:rPr>
          <w:rFonts w:eastAsia="SimSun"/>
          <w:lang w:eastAsia="zh-CN"/>
        </w:rPr>
      </w:pPr>
      <w:r w:rsidRPr="00AD4682">
        <w:rPr>
          <w:rFonts w:eastAsia="SimSun" w:hint="eastAsia"/>
          <w:lang w:eastAsia="zh-CN"/>
        </w:rPr>
        <w:lastRenderedPageBreak/>
        <w:t>B)</w:t>
      </w:r>
      <w:r w:rsidRPr="00AD4682">
        <w:rPr>
          <w:rFonts w:eastAsia="SimSun" w:hint="eastAsia"/>
          <w:lang w:eastAsia="zh-CN"/>
        </w:rPr>
        <w:tab/>
      </w:r>
      <w:r w:rsidRPr="00AD4682">
        <w:rPr>
          <w:rFonts w:eastAsia="SimSun" w:hint="eastAsia"/>
          <w:u w:val="single"/>
          <w:lang w:eastAsia="zh-CN"/>
        </w:rPr>
        <w:t>围绕国际电联重大活动举办的竞选活动</w:t>
      </w:r>
    </w:p>
    <w:p w:rsidR="00AD4682" w:rsidRPr="00AD4682" w:rsidRDefault="00AD4682" w:rsidP="00AD4682">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before="160"/>
        <w:textAlignment w:val="auto"/>
        <w:rPr>
          <w:rFonts w:eastAsia="SimSun"/>
          <w:b/>
          <w:lang w:eastAsia="zh-CN"/>
        </w:rPr>
      </w:pPr>
      <w:r w:rsidRPr="00AD4682">
        <w:rPr>
          <w:rFonts w:eastAsia="SimSun" w:hint="eastAsia"/>
          <w:b/>
          <w:lang w:eastAsia="zh-CN"/>
        </w:rPr>
        <w:t>一般性原则：</w:t>
      </w:r>
    </w:p>
    <w:p w:rsidR="00AD4682" w:rsidRPr="00AD4682" w:rsidRDefault="00AD4682" w:rsidP="00AD4682">
      <w:pPr>
        <w:tabs>
          <w:tab w:val="clear" w:pos="567"/>
          <w:tab w:val="clear" w:pos="1134"/>
          <w:tab w:val="clear" w:pos="1701"/>
          <w:tab w:val="clear" w:pos="2268"/>
          <w:tab w:val="clear" w:pos="2835"/>
          <w:tab w:val="left" w:pos="794"/>
          <w:tab w:val="left" w:pos="1191"/>
          <w:tab w:val="left" w:pos="1588"/>
          <w:tab w:val="left" w:pos="1985"/>
          <w:tab w:val="left" w:pos="2608"/>
          <w:tab w:val="left" w:pos="3345"/>
        </w:tabs>
        <w:ind w:left="794" w:hanging="794"/>
        <w:rPr>
          <w:rFonts w:eastAsia="SimSun"/>
          <w:lang w:eastAsia="zh-CN"/>
        </w:rPr>
      </w:pPr>
      <w:r w:rsidRPr="00AD4682">
        <w:rPr>
          <w:rFonts w:eastAsia="SimSun"/>
          <w:lang w:eastAsia="zh-CN"/>
        </w:rPr>
        <w:t>•</w:t>
      </w:r>
      <w:r w:rsidRPr="00AD4682">
        <w:rPr>
          <w:rFonts w:eastAsia="SimSun"/>
          <w:lang w:eastAsia="zh-CN"/>
        </w:rPr>
        <w:tab/>
      </w:r>
      <w:r w:rsidRPr="00AD4682">
        <w:rPr>
          <w:rFonts w:eastAsia="SimSun" w:hint="eastAsia"/>
          <w:b/>
          <w:bCs/>
          <w:lang w:eastAsia="zh-CN"/>
        </w:rPr>
        <w:t>竞选相关活动不应干扰官方重大活动中国际电联事务的进行</w:t>
      </w:r>
    </w:p>
    <w:p w:rsidR="00AD4682" w:rsidRPr="00AD4682" w:rsidRDefault="00AD4682" w:rsidP="00AD4682">
      <w:pPr>
        <w:tabs>
          <w:tab w:val="clear" w:pos="567"/>
          <w:tab w:val="clear" w:pos="1134"/>
          <w:tab w:val="clear" w:pos="1701"/>
          <w:tab w:val="clear" w:pos="2268"/>
          <w:tab w:val="clear" w:pos="2835"/>
          <w:tab w:val="left" w:pos="794"/>
          <w:tab w:val="left" w:pos="1191"/>
          <w:tab w:val="left" w:pos="1588"/>
          <w:tab w:val="left" w:pos="1985"/>
        </w:tabs>
        <w:rPr>
          <w:rFonts w:eastAsia="SimSun"/>
          <w:lang w:eastAsia="zh-CN"/>
        </w:rPr>
      </w:pPr>
      <w:bookmarkStart w:id="2" w:name="lt_pId114"/>
      <w:r w:rsidRPr="00AD4682">
        <w:rPr>
          <w:rFonts w:eastAsia="SimSun" w:hint="eastAsia"/>
          <w:u w:val="single"/>
          <w:lang w:eastAsia="zh-CN"/>
        </w:rPr>
        <w:t>应用</w:t>
      </w:r>
      <w:r w:rsidRPr="00AD4682">
        <w:rPr>
          <w:rFonts w:eastAsia="SimSun" w:hint="eastAsia"/>
          <w:lang w:eastAsia="zh-CN"/>
        </w:rPr>
        <w:t>：</w:t>
      </w:r>
      <w:bookmarkEnd w:id="2"/>
      <w:r w:rsidRPr="00AD4682">
        <w:rPr>
          <w:rFonts w:eastAsia="SimSun" w:hint="eastAsia"/>
          <w:lang w:eastAsia="zh-CN"/>
        </w:rPr>
        <w:t>国际电</w:t>
      </w:r>
      <w:proofErr w:type="gramStart"/>
      <w:r w:rsidRPr="00AD4682">
        <w:rPr>
          <w:rFonts w:eastAsia="SimSun" w:hint="eastAsia"/>
          <w:lang w:eastAsia="zh-CN"/>
        </w:rPr>
        <w:t>联重大</w:t>
      </w:r>
      <w:proofErr w:type="gramEnd"/>
      <w:r w:rsidRPr="00AD4682">
        <w:rPr>
          <w:rFonts w:eastAsia="SimSun" w:hint="eastAsia"/>
          <w:lang w:eastAsia="zh-CN"/>
        </w:rPr>
        <w:t>活动</w:t>
      </w:r>
      <w:r w:rsidRPr="00AD4682">
        <w:rPr>
          <w:rFonts w:eastAsia="SimSun" w:hint="eastAsia"/>
          <w:lang w:eastAsia="zh-CN"/>
        </w:rPr>
        <w:t xml:space="preserve"> </w:t>
      </w:r>
      <w:r w:rsidRPr="00AD4682">
        <w:rPr>
          <w:rFonts w:eastAsia="SimSun"/>
          <w:lang w:eastAsia="zh-CN"/>
        </w:rPr>
        <w:t xml:space="preserve">– </w:t>
      </w:r>
      <w:r w:rsidRPr="00AD4682">
        <w:rPr>
          <w:rFonts w:eastAsia="SimSun" w:hint="eastAsia"/>
          <w:lang w:eastAsia="zh-CN"/>
        </w:rPr>
        <w:t>以及围绕这些重大活动组织的非正式和社交场合</w:t>
      </w:r>
      <w:r w:rsidRPr="00AD4682">
        <w:rPr>
          <w:rFonts w:eastAsia="SimSun" w:hint="eastAsia"/>
          <w:lang w:eastAsia="zh-CN"/>
        </w:rPr>
        <w:t xml:space="preserve"> </w:t>
      </w:r>
      <w:r w:rsidRPr="00AD4682">
        <w:rPr>
          <w:rFonts w:eastAsia="SimSun"/>
          <w:lang w:eastAsia="zh-CN"/>
        </w:rPr>
        <w:t xml:space="preserve">– </w:t>
      </w:r>
      <w:r w:rsidRPr="00AD4682">
        <w:rPr>
          <w:rFonts w:eastAsia="SimSun" w:hint="eastAsia"/>
          <w:lang w:eastAsia="zh-CN"/>
        </w:rPr>
        <w:t>是与成员国代表进行接触的良机。一些候选人因其在国际电联公职可以出席此类活动。其他候选人可能作为一成员国代表团的一员出席活动。还有一些候选人可能没有正式理由出席该活动，但希望利用各利益攸关方汇聚一堂的机会。</w:t>
      </w:r>
    </w:p>
    <w:p w:rsidR="00AD4682" w:rsidRPr="00AD4682" w:rsidRDefault="00AD4682" w:rsidP="00AD4682">
      <w:pPr>
        <w:tabs>
          <w:tab w:val="clear" w:pos="567"/>
          <w:tab w:val="clear" w:pos="1134"/>
          <w:tab w:val="clear" w:pos="1701"/>
          <w:tab w:val="clear" w:pos="2268"/>
          <w:tab w:val="clear" w:pos="2835"/>
          <w:tab w:val="left" w:pos="794"/>
          <w:tab w:val="left" w:pos="1191"/>
          <w:tab w:val="left" w:pos="1588"/>
          <w:tab w:val="left" w:pos="1985"/>
        </w:tabs>
        <w:ind w:firstLineChars="200" w:firstLine="480"/>
        <w:rPr>
          <w:rFonts w:eastAsia="SimSun"/>
          <w:lang w:eastAsia="zh-CN"/>
        </w:rPr>
      </w:pPr>
      <w:r w:rsidRPr="00AD4682">
        <w:rPr>
          <w:rFonts w:eastAsia="SimSun" w:hint="eastAsia"/>
          <w:lang w:eastAsia="zh-CN"/>
        </w:rPr>
        <w:t>公平和公正的基本原则意味着，候选人应有同等机会与参加此类活动的成员国代表进行接触。同时，值得注意的是，这些活动的目的是推进国际电联在某特定领域的工作，而不是作为竞选活动的平台。因此，在国际电联活动期间，候选人应避免为助选而与成员国代表接触。但候选人可利用围绕这些活动组织的（在活动场地之外安排的）非正式或社交场合开展竞选活动。总体而言，候选人应避免那些显示</w:t>
      </w:r>
      <w:proofErr w:type="gramStart"/>
      <w:r w:rsidRPr="00AD4682">
        <w:rPr>
          <w:rFonts w:eastAsia="SimSun" w:hint="eastAsia"/>
          <w:lang w:eastAsia="zh-CN"/>
        </w:rPr>
        <w:t>出关注</w:t>
      </w:r>
      <w:proofErr w:type="gramEnd"/>
      <w:r w:rsidRPr="00AD4682">
        <w:rPr>
          <w:rFonts w:eastAsia="SimSun" w:hint="eastAsia"/>
          <w:lang w:eastAsia="zh-CN"/>
        </w:rPr>
        <w:t>重心是竞选相关活动而非国际电联事务的行为。</w:t>
      </w:r>
    </w:p>
    <w:p w:rsidR="00AD4682" w:rsidRPr="00AD4682" w:rsidRDefault="00AD4682" w:rsidP="00AD4682">
      <w:pPr>
        <w:tabs>
          <w:tab w:val="clear" w:pos="567"/>
          <w:tab w:val="clear" w:pos="1134"/>
          <w:tab w:val="clear" w:pos="1701"/>
          <w:tab w:val="clear" w:pos="2268"/>
          <w:tab w:val="clear" w:pos="2835"/>
          <w:tab w:val="left" w:pos="794"/>
          <w:tab w:val="left" w:pos="1191"/>
          <w:tab w:val="left" w:pos="1588"/>
          <w:tab w:val="left" w:pos="1985"/>
        </w:tabs>
        <w:spacing w:after="160"/>
        <w:jc w:val="both"/>
        <w:rPr>
          <w:rFonts w:ascii="STKaiti" w:eastAsia="STKaiti" w:hAnsi="STKaiti" w:cstheme="majorBidi"/>
          <w:lang w:eastAsia="zh-CN"/>
        </w:rPr>
      </w:pPr>
      <w:r w:rsidRPr="00AD4682">
        <w:rPr>
          <w:rFonts w:ascii="STKaiti" w:eastAsia="STKaiti" w:hAnsi="STKaiti" w:cstheme="majorBidi" w:hint="eastAsia"/>
          <w:lang w:eastAsia="zh-CN"/>
        </w:rPr>
        <w:t>例如：</w:t>
      </w:r>
    </w:p>
    <w:p w:rsidR="00AD4682" w:rsidRPr="00AD4682" w:rsidRDefault="00AD4682" w:rsidP="00AD4682">
      <w:pPr>
        <w:tabs>
          <w:tab w:val="clear" w:pos="567"/>
          <w:tab w:val="clear" w:pos="1134"/>
          <w:tab w:val="clear" w:pos="1701"/>
          <w:tab w:val="clear" w:pos="2268"/>
          <w:tab w:val="clear" w:pos="2835"/>
          <w:tab w:val="left" w:pos="794"/>
        </w:tabs>
        <w:autoSpaceDE/>
        <w:autoSpaceDN/>
        <w:adjustRightInd/>
        <w:snapToGrid w:val="0"/>
        <w:spacing w:before="80"/>
        <w:ind w:left="794" w:hanging="794"/>
        <w:textAlignment w:val="auto"/>
        <w:rPr>
          <w:rFonts w:asciiTheme="minorHAnsi" w:eastAsiaTheme="minorEastAsia" w:hAnsiTheme="minorHAnsi" w:cstheme="majorBidi"/>
          <w:lang w:eastAsia="zh-CN"/>
        </w:rPr>
      </w:pPr>
      <w:r w:rsidRPr="00AD4682">
        <w:rPr>
          <w:rFonts w:asciiTheme="minorHAnsi" w:eastAsiaTheme="minorEastAsia" w:hAnsiTheme="minorHAnsi" w:cstheme="majorBidi"/>
          <w:lang w:eastAsia="zh-CN"/>
        </w:rPr>
        <w:t>•</w:t>
      </w:r>
      <w:r w:rsidRPr="00AD4682">
        <w:rPr>
          <w:rFonts w:asciiTheme="minorHAnsi" w:eastAsiaTheme="minorEastAsia" w:hAnsiTheme="minorHAnsi" w:cstheme="majorBidi"/>
          <w:lang w:eastAsia="zh-CN"/>
        </w:rPr>
        <w:tab/>
      </w:r>
      <w:r w:rsidRPr="00AD4682">
        <w:rPr>
          <w:rFonts w:asciiTheme="minorHAnsi" w:eastAsiaTheme="minorEastAsia" w:hAnsiTheme="minorHAnsi" w:cstheme="majorBidi" w:hint="eastAsia"/>
          <w:lang w:eastAsia="zh-CN"/>
        </w:rPr>
        <w:t>在正式会议期间</w:t>
      </w:r>
      <w:r w:rsidRPr="00AD4682">
        <w:rPr>
          <w:rFonts w:asciiTheme="minorHAnsi" w:eastAsia="STKaiti" w:hAnsiTheme="minorHAnsi" w:cstheme="majorBidi" w:hint="eastAsia"/>
          <w:lang w:eastAsia="zh-CN"/>
        </w:rPr>
        <w:t>积极</w:t>
      </w:r>
      <w:r w:rsidRPr="00AD4682">
        <w:rPr>
          <w:rFonts w:asciiTheme="minorHAnsi" w:eastAsiaTheme="minorEastAsia" w:hAnsiTheme="minorHAnsi" w:cstheme="majorBidi" w:hint="eastAsia"/>
          <w:lang w:eastAsia="zh-CN"/>
        </w:rPr>
        <w:t>与成员国代表接触、讨论竞选问题，可能会妨碍活动期间官方事务的完成。因此，最好避免在国际电联活动期间就竞选问题与成员国代表进行积极接触。如果在国际电联活动期间有人接触候选人讨论其参选问题，候选人应考虑邀请相关方在会外进行进一步讨论。此类活动</w:t>
      </w:r>
      <w:proofErr w:type="gramStart"/>
      <w:r w:rsidRPr="00AD4682">
        <w:rPr>
          <w:rFonts w:asciiTheme="minorHAnsi" w:eastAsiaTheme="minorEastAsia" w:hAnsiTheme="minorHAnsi" w:cstheme="majorBidi" w:hint="eastAsia"/>
          <w:lang w:eastAsia="zh-CN"/>
        </w:rPr>
        <w:t>宜安排</w:t>
      </w:r>
      <w:proofErr w:type="gramEnd"/>
      <w:r w:rsidRPr="00AD4682">
        <w:rPr>
          <w:rFonts w:asciiTheme="minorHAnsi" w:eastAsiaTheme="minorEastAsia" w:hAnsiTheme="minorHAnsi" w:cstheme="majorBidi" w:hint="eastAsia"/>
          <w:lang w:eastAsia="zh-CN"/>
        </w:rPr>
        <w:t>在一天会议结束之后，而不是利用</w:t>
      </w:r>
      <w:proofErr w:type="gramStart"/>
      <w:r w:rsidRPr="00AD4682">
        <w:rPr>
          <w:rFonts w:asciiTheme="minorHAnsi" w:eastAsiaTheme="minorEastAsia" w:hAnsiTheme="minorHAnsi" w:cstheme="majorBidi" w:hint="eastAsia"/>
          <w:lang w:eastAsia="zh-CN"/>
        </w:rPr>
        <w:t>茶歇或</w:t>
      </w:r>
      <w:proofErr w:type="gramEnd"/>
      <w:r w:rsidRPr="00AD4682">
        <w:rPr>
          <w:rFonts w:asciiTheme="minorHAnsi" w:eastAsiaTheme="minorEastAsia" w:hAnsiTheme="minorHAnsi" w:cstheme="majorBidi" w:hint="eastAsia"/>
          <w:lang w:eastAsia="zh-CN"/>
        </w:rPr>
        <w:t>午餐时间（代表们常利用这段时间继续讨论官方事宜）。</w:t>
      </w:r>
    </w:p>
    <w:p w:rsidR="00AD4682" w:rsidRPr="00AD4682" w:rsidRDefault="00AD4682" w:rsidP="00AD4682">
      <w:pPr>
        <w:tabs>
          <w:tab w:val="clear" w:pos="567"/>
          <w:tab w:val="clear" w:pos="1134"/>
          <w:tab w:val="clear" w:pos="1701"/>
          <w:tab w:val="clear" w:pos="2268"/>
          <w:tab w:val="clear" w:pos="2835"/>
          <w:tab w:val="left" w:pos="794"/>
        </w:tabs>
        <w:autoSpaceDE/>
        <w:autoSpaceDN/>
        <w:adjustRightInd/>
        <w:snapToGrid w:val="0"/>
        <w:spacing w:before="80"/>
        <w:ind w:left="794" w:hanging="794"/>
        <w:textAlignment w:val="auto"/>
        <w:rPr>
          <w:rFonts w:asciiTheme="minorHAnsi" w:eastAsiaTheme="minorEastAsia" w:hAnsiTheme="minorHAnsi" w:cstheme="majorBidi"/>
          <w:lang w:eastAsia="zh-CN"/>
        </w:rPr>
      </w:pPr>
      <w:r w:rsidRPr="00AD4682">
        <w:rPr>
          <w:rFonts w:asciiTheme="minorHAnsi" w:eastAsiaTheme="minorEastAsia" w:hAnsiTheme="minorHAnsi" w:cstheme="majorBidi"/>
          <w:lang w:eastAsia="zh-CN"/>
        </w:rPr>
        <w:t>•</w:t>
      </w:r>
      <w:r w:rsidRPr="00AD4682">
        <w:rPr>
          <w:rFonts w:asciiTheme="minorHAnsi" w:eastAsiaTheme="minorEastAsia" w:hAnsiTheme="minorHAnsi" w:cstheme="majorBidi"/>
          <w:lang w:eastAsia="zh-CN"/>
        </w:rPr>
        <w:tab/>
      </w:r>
      <w:r w:rsidRPr="00AD4682">
        <w:rPr>
          <w:rFonts w:asciiTheme="minorHAnsi" w:eastAsiaTheme="minorEastAsia" w:hAnsiTheme="minorHAnsi" w:cstheme="majorBidi" w:hint="eastAsia"/>
          <w:lang w:eastAsia="zh-CN"/>
        </w:rPr>
        <w:t>在国际电联活动期间，不鼓励候选人利用活动场地开展竞选活动。这包括避免在助选成员国赞助的活动休息时段发表任何竞选声明。如上所述，候选人可在国际电联活动场地之外安排的非正式或社交场合（如成员国主办的招待会）开展竞选活动。</w:t>
      </w:r>
      <w:r w:rsidRPr="00AD4682">
        <w:rPr>
          <w:rFonts w:asciiTheme="minorHAnsi" w:eastAsiaTheme="minorEastAsia" w:hAnsiTheme="minorHAnsi" w:cstheme="majorBidi"/>
          <w:lang w:eastAsia="zh-CN"/>
        </w:rPr>
        <w:t xml:space="preserve"> </w:t>
      </w:r>
    </w:p>
    <w:p w:rsidR="00AD4682" w:rsidRPr="00AD4682" w:rsidRDefault="00AD4682" w:rsidP="00AD4682">
      <w:pPr>
        <w:tabs>
          <w:tab w:val="clear" w:pos="567"/>
          <w:tab w:val="clear" w:pos="1134"/>
          <w:tab w:val="clear" w:pos="1701"/>
          <w:tab w:val="clear" w:pos="2268"/>
          <w:tab w:val="clear" w:pos="2835"/>
          <w:tab w:val="left" w:pos="794"/>
        </w:tabs>
        <w:autoSpaceDE/>
        <w:autoSpaceDN/>
        <w:adjustRightInd/>
        <w:snapToGrid w:val="0"/>
        <w:spacing w:before="80"/>
        <w:ind w:left="794" w:hanging="794"/>
        <w:textAlignment w:val="auto"/>
        <w:rPr>
          <w:rFonts w:asciiTheme="minorHAnsi" w:eastAsiaTheme="minorEastAsia" w:hAnsiTheme="minorHAnsi" w:cstheme="majorBidi"/>
          <w:lang w:eastAsia="zh-CN"/>
        </w:rPr>
      </w:pPr>
      <w:r w:rsidRPr="00AD4682">
        <w:rPr>
          <w:rFonts w:eastAsia="SimSun"/>
          <w:lang w:eastAsia="zh-CN"/>
        </w:rPr>
        <w:t>•</w:t>
      </w:r>
      <w:r w:rsidRPr="00AD4682">
        <w:rPr>
          <w:rFonts w:eastAsia="SimSun"/>
          <w:lang w:eastAsia="zh-CN"/>
        </w:rPr>
        <w:tab/>
      </w:r>
      <w:r w:rsidRPr="00AD4682">
        <w:rPr>
          <w:rFonts w:eastAsia="SimSun" w:hint="eastAsia"/>
          <w:lang w:eastAsia="zh-CN"/>
        </w:rPr>
        <w:t>（那些不能因公职的</w:t>
      </w:r>
      <w:r w:rsidRPr="00AD4682">
        <w:rPr>
          <w:rFonts w:asciiTheme="minorHAnsi" w:eastAsiaTheme="minorEastAsia" w:hAnsiTheme="minorHAnsi" w:cstheme="majorBidi" w:hint="eastAsia"/>
          <w:lang w:eastAsia="zh-CN"/>
        </w:rPr>
        <w:t>正常工作而到场参加某项活动但）自行前往活动地点推进其竞选的候选人，应向国际电联请假。此外，如上所述，此类个人参加此类活动的费用不应由国际电联承担。大力提倡候选人与</w:t>
      </w:r>
      <w:r w:rsidRPr="00AD4682">
        <w:rPr>
          <w:rFonts w:asciiTheme="minorHAnsi" w:eastAsiaTheme="minorEastAsia" w:hAnsiTheme="minorHAnsi" w:cstheme="majorBidi" w:hint="eastAsia"/>
          <w:lang w:eastAsia="zh-CN"/>
        </w:rPr>
        <w:t>ETO</w:t>
      </w:r>
      <w:r w:rsidRPr="00AD4682">
        <w:rPr>
          <w:rFonts w:asciiTheme="minorHAnsi" w:eastAsiaTheme="minorEastAsia" w:hAnsiTheme="minorHAnsi" w:cstheme="majorBidi" w:hint="eastAsia"/>
          <w:lang w:eastAsia="zh-CN"/>
        </w:rPr>
        <w:t>联系，通报以私人身份参加国际电联某项活动的计划，以便就相关竞选动活动的具体方面进行讨论。</w:t>
      </w:r>
    </w:p>
    <w:p w:rsidR="00AD4682" w:rsidRPr="00AD4682" w:rsidRDefault="00AD4682" w:rsidP="00AD4682">
      <w:pPr>
        <w:tabs>
          <w:tab w:val="clear" w:pos="567"/>
          <w:tab w:val="clear" w:pos="1134"/>
          <w:tab w:val="clear" w:pos="1701"/>
          <w:tab w:val="clear" w:pos="2268"/>
          <w:tab w:val="clear" w:pos="2835"/>
          <w:tab w:val="left" w:pos="794"/>
          <w:tab w:val="left" w:pos="1191"/>
          <w:tab w:val="left" w:pos="1588"/>
          <w:tab w:val="left" w:pos="1985"/>
          <w:tab w:val="left" w:pos="2608"/>
          <w:tab w:val="left" w:pos="3345"/>
        </w:tabs>
        <w:ind w:left="794" w:hanging="794"/>
        <w:rPr>
          <w:rFonts w:eastAsia="SimSun"/>
          <w:lang w:eastAsia="zh-CN"/>
        </w:rPr>
      </w:pPr>
      <w:r w:rsidRPr="00AD4682">
        <w:rPr>
          <w:rFonts w:eastAsia="SimSun" w:hint="eastAsia"/>
          <w:lang w:eastAsia="zh-CN"/>
        </w:rPr>
        <w:t>C)</w:t>
      </w:r>
      <w:r w:rsidRPr="00AD4682">
        <w:rPr>
          <w:rFonts w:eastAsia="SimSun" w:hint="eastAsia"/>
          <w:lang w:eastAsia="zh-CN"/>
        </w:rPr>
        <w:tab/>
      </w:r>
      <w:r w:rsidRPr="00AD4682">
        <w:rPr>
          <w:rFonts w:eastAsia="SimSun" w:hint="eastAsia"/>
          <w:u w:val="single"/>
          <w:lang w:eastAsia="zh-CN"/>
        </w:rPr>
        <w:t>与成员国的接触</w:t>
      </w:r>
    </w:p>
    <w:p w:rsidR="00AD4682" w:rsidRPr="00AD4682" w:rsidRDefault="00AD4682" w:rsidP="00AD4682">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before="160"/>
        <w:textAlignment w:val="auto"/>
        <w:rPr>
          <w:rFonts w:eastAsia="SimSun"/>
          <w:b/>
          <w:lang w:eastAsia="zh-CN"/>
        </w:rPr>
      </w:pPr>
      <w:r w:rsidRPr="00AD4682">
        <w:rPr>
          <w:rFonts w:eastAsia="SimSun" w:hint="eastAsia"/>
          <w:b/>
          <w:lang w:eastAsia="zh-CN"/>
        </w:rPr>
        <w:t>一般性原则：</w:t>
      </w:r>
    </w:p>
    <w:p w:rsidR="00AD4682" w:rsidRPr="00AD4682" w:rsidRDefault="00AD4682" w:rsidP="00AD4682">
      <w:pPr>
        <w:tabs>
          <w:tab w:val="clear" w:pos="567"/>
          <w:tab w:val="clear" w:pos="1134"/>
          <w:tab w:val="clear" w:pos="1701"/>
          <w:tab w:val="clear" w:pos="2268"/>
          <w:tab w:val="clear" w:pos="2835"/>
          <w:tab w:val="left" w:pos="794"/>
          <w:tab w:val="left" w:pos="1191"/>
          <w:tab w:val="left" w:pos="1588"/>
          <w:tab w:val="left" w:pos="1985"/>
          <w:tab w:val="left" w:pos="2608"/>
          <w:tab w:val="left" w:pos="3345"/>
        </w:tabs>
        <w:ind w:left="794" w:hanging="794"/>
        <w:rPr>
          <w:rFonts w:eastAsia="SimSun"/>
          <w:lang w:eastAsia="zh-CN"/>
        </w:rPr>
      </w:pPr>
      <w:r w:rsidRPr="00AD4682">
        <w:rPr>
          <w:rFonts w:eastAsia="SimSun"/>
          <w:lang w:eastAsia="zh-CN"/>
        </w:rPr>
        <w:t>•</w:t>
      </w:r>
      <w:r w:rsidRPr="00AD4682">
        <w:rPr>
          <w:rFonts w:eastAsia="SimSun"/>
          <w:lang w:eastAsia="zh-CN"/>
        </w:rPr>
        <w:tab/>
      </w:r>
      <w:r w:rsidRPr="00AD4682">
        <w:rPr>
          <w:rFonts w:eastAsia="SimSun" w:hint="eastAsia"/>
          <w:b/>
          <w:bCs/>
          <w:lang w:eastAsia="zh-CN"/>
        </w:rPr>
        <w:t>即便在与成员国进行竞选协调时，亦应尊重独立性、对国际电联的忠诚和公正性的基本价值观</w:t>
      </w:r>
    </w:p>
    <w:p w:rsidR="00AD4682" w:rsidRPr="00AD4682" w:rsidRDefault="00AD4682" w:rsidP="00AD4682">
      <w:pPr>
        <w:tabs>
          <w:tab w:val="clear" w:pos="567"/>
          <w:tab w:val="clear" w:pos="1134"/>
          <w:tab w:val="clear" w:pos="1701"/>
          <w:tab w:val="clear" w:pos="2268"/>
          <w:tab w:val="clear" w:pos="2835"/>
          <w:tab w:val="left" w:pos="794"/>
          <w:tab w:val="left" w:pos="1191"/>
          <w:tab w:val="left" w:pos="1588"/>
          <w:tab w:val="left" w:pos="1985"/>
        </w:tabs>
        <w:rPr>
          <w:rFonts w:eastAsia="SimSun"/>
          <w:lang w:eastAsia="zh-CN"/>
        </w:rPr>
      </w:pPr>
      <w:bookmarkStart w:id="3" w:name="lt_pId137"/>
      <w:r w:rsidRPr="00AD4682">
        <w:rPr>
          <w:rFonts w:eastAsia="SimSun" w:hint="eastAsia"/>
          <w:u w:val="single"/>
          <w:lang w:eastAsia="zh-CN"/>
        </w:rPr>
        <w:t>应用</w:t>
      </w:r>
      <w:r w:rsidRPr="00AD4682">
        <w:rPr>
          <w:rFonts w:eastAsia="SimSun" w:hint="eastAsia"/>
          <w:lang w:eastAsia="zh-CN"/>
        </w:rPr>
        <w:t>：</w:t>
      </w:r>
      <w:bookmarkEnd w:id="3"/>
      <w:r w:rsidRPr="00AD4682">
        <w:rPr>
          <w:rFonts w:eastAsia="SimSun" w:hint="eastAsia"/>
          <w:lang w:eastAsia="zh-CN"/>
        </w:rPr>
        <w:t>参加竞选不可避免地要与成员国进行一定程度的协调。与成员国的此类接触不应损害相关个人作为国际公务员的独立性和公正性以及对国际电联的忠诚。对于这些原则的遵守意味着谨慎言行，因为以官方身份采取的行为可能会被视为反映某个成员国利益和</w:t>
      </w:r>
      <w:r w:rsidRPr="00AD4682">
        <w:rPr>
          <w:rFonts w:eastAsia="SimSun" w:hint="eastAsia"/>
          <w:lang w:eastAsia="zh-CN"/>
        </w:rPr>
        <w:t>/</w:t>
      </w:r>
      <w:r w:rsidRPr="00AD4682">
        <w:rPr>
          <w:rFonts w:eastAsia="SimSun" w:hint="eastAsia"/>
          <w:lang w:eastAsia="zh-CN"/>
        </w:rPr>
        <w:t>或主要是为了助选而不是出于国际电联的利益。绝对不应出现代表国际电联的官方行为（无论是现在还是将来）因换取竞选支持而受到不正当或将会受到不正当影响的现象。</w:t>
      </w:r>
    </w:p>
    <w:p w:rsidR="00AD4682" w:rsidRPr="00AD4682" w:rsidRDefault="00AD4682" w:rsidP="00AD4682">
      <w:pPr>
        <w:tabs>
          <w:tab w:val="clear" w:pos="567"/>
          <w:tab w:val="clear" w:pos="1134"/>
          <w:tab w:val="clear" w:pos="1701"/>
          <w:tab w:val="clear" w:pos="2268"/>
          <w:tab w:val="clear" w:pos="2835"/>
          <w:tab w:val="left" w:pos="794"/>
          <w:tab w:val="left" w:pos="1191"/>
          <w:tab w:val="left" w:pos="1588"/>
          <w:tab w:val="left" w:pos="1985"/>
        </w:tabs>
        <w:spacing w:after="160"/>
        <w:jc w:val="both"/>
        <w:rPr>
          <w:rFonts w:ascii="STKaiti" w:eastAsia="STKaiti" w:hAnsi="STKaiti" w:cstheme="majorBidi"/>
          <w:lang w:eastAsia="zh-CN"/>
        </w:rPr>
      </w:pPr>
      <w:r w:rsidRPr="00AD4682">
        <w:rPr>
          <w:rFonts w:ascii="STKaiti" w:eastAsia="STKaiti" w:hAnsi="STKaiti" w:cstheme="majorBidi" w:hint="eastAsia"/>
          <w:lang w:eastAsia="zh-CN"/>
        </w:rPr>
        <w:t>例如：</w:t>
      </w:r>
    </w:p>
    <w:p w:rsidR="00AD4682" w:rsidRPr="00AD4682" w:rsidRDefault="00AD4682" w:rsidP="00AD4682">
      <w:pPr>
        <w:tabs>
          <w:tab w:val="clear" w:pos="567"/>
          <w:tab w:val="clear" w:pos="1134"/>
          <w:tab w:val="clear" w:pos="1701"/>
          <w:tab w:val="clear" w:pos="2268"/>
          <w:tab w:val="clear" w:pos="2835"/>
          <w:tab w:val="left" w:pos="794"/>
        </w:tabs>
        <w:adjustRightInd/>
        <w:snapToGrid w:val="0"/>
        <w:spacing w:before="80"/>
        <w:ind w:left="794" w:hanging="794"/>
        <w:textAlignment w:val="auto"/>
        <w:rPr>
          <w:rFonts w:asciiTheme="minorHAnsi" w:eastAsiaTheme="minorEastAsia" w:hAnsiTheme="minorHAnsi" w:cstheme="majorBidi"/>
          <w:lang w:eastAsia="zh-CN"/>
        </w:rPr>
      </w:pPr>
      <w:r w:rsidRPr="00AD4682">
        <w:rPr>
          <w:rFonts w:asciiTheme="minorHAnsi" w:eastAsiaTheme="minorEastAsia" w:hAnsiTheme="minorHAnsi" w:cstheme="majorBidi"/>
          <w:lang w:eastAsia="zh-CN"/>
        </w:rPr>
        <w:t>•</w:t>
      </w:r>
      <w:r w:rsidRPr="00AD4682">
        <w:rPr>
          <w:rFonts w:asciiTheme="minorHAnsi" w:eastAsiaTheme="minorEastAsia" w:hAnsiTheme="minorHAnsi" w:cstheme="majorBidi"/>
          <w:lang w:eastAsia="zh-CN"/>
        </w:rPr>
        <w:tab/>
      </w:r>
      <w:r w:rsidRPr="00AD4682">
        <w:rPr>
          <w:rFonts w:asciiTheme="minorHAnsi" w:eastAsiaTheme="minorEastAsia" w:hAnsiTheme="minorHAnsi" w:cstheme="majorBidi" w:hint="eastAsia"/>
          <w:lang w:eastAsia="zh-CN"/>
        </w:rPr>
        <w:t>竞选协调不应涉及与助选成员国分享并非提供给所有成员国的或不适于公开披露的信息。这包括与其他</w:t>
      </w:r>
      <w:proofErr w:type="gramStart"/>
      <w:r w:rsidRPr="00AD4682">
        <w:rPr>
          <w:rFonts w:asciiTheme="minorHAnsi" w:eastAsiaTheme="minorEastAsia" w:hAnsiTheme="minorHAnsi" w:cstheme="majorBidi" w:hint="eastAsia"/>
          <w:lang w:eastAsia="zh-CN"/>
        </w:rPr>
        <w:t>候选人职场表现</w:t>
      </w:r>
      <w:proofErr w:type="gramEnd"/>
      <w:r w:rsidRPr="00AD4682">
        <w:rPr>
          <w:rFonts w:asciiTheme="minorHAnsi" w:eastAsiaTheme="minorEastAsia" w:hAnsiTheme="minorHAnsi" w:cstheme="majorBidi" w:hint="eastAsia"/>
          <w:lang w:eastAsia="zh-CN"/>
        </w:rPr>
        <w:t>相关的信息。</w:t>
      </w:r>
      <w:r w:rsidRPr="00AD4682">
        <w:rPr>
          <w:rFonts w:asciiTheme="minorHAnsi" w:eastAsiaTheme="minorEastAsia" w:hAnsiTheme="minorHAnsi" w:cstheme="majorBidi"/>
          <w:lang w:eastAsia="zh-CN"/>
        </w:rPr>
        <w:t xml:space="preserve"> </w:t>
      </w:r>
    </w:p>
    <w:p w:rsidR="00AD4682" w:rsidRPr="00AD4682" w:rsidRDefault="00AD4682" w:rsidP="00AD4682">
      <w:pPr>
        <w:tabs>
          <w:tab w:val="clear" w:pos="567"/>
          <w:tab w:val="clear" w:pos="1134"/>
          <w:tab w:val="clear" w:pos="1701"/>
          <w:tab w:val="clear" w:pos="2268"/>
          <w:tab w:val="clear" w:pos="2835"/>
          <w:tab w:val="left" w:pos="794"/>
        </w:tabs>
        <w:adjustRightInd/>
        <w:snapToGrid w:val="0"/>
        <w:spacing w:before="80"/>
        <w:ind w:left="794" w:hanging="794"/>
        <w:textAlignment w:val="auto"/>
        <w:rPr>
          <w:rFonts w:asciiTheme="minorHAnsi" w:eastAsiaTheme="minorEastAsia" w:hAnsiTheme="minorHAnsi" w:cstheme="majorBidi"/>
          <w:lang w:eastAsia="zh-CN"/>
        </w:rPr>
      </w:pPr>
      <w:r w:rsidRPr="00AD4682">
        <w:rPr>
          <w:rFonts w:asciiTheme="minorHAnsi" w:eastAsiaTheme="minorEastAsia" w:hAnsiTheme="minorHAnsi" w:cstheme="majorBidi"/>
          <w:lang w:eastAsia="zh-CN"/>
        </w:rPr>
        <w:lastRenderedPageBreak/>
        <w:t>•</w:t>
      </w:r>
      <w:r w:rsidRPr="00AD4682">
        <w:rPr>
          <w:rFonts w:asciiTheme="minorHAnsi" w:eastAsiaTheme="minorEastAsia" w:hAnsiTheme="minorHAnsi" w:cstheme="majorBidi"/>
          <w:lang w:eastAsia="zh-CN"/>
        </w:rPr>
        <w:tab/>
      </w:r>
      <w:r w:rsidRPr="00AD4682">
        <w:rPr>
          <w:rFonts w:asciiTheme="minorHAnsi" w:eastAsiaTheme="minorEastAsia" w:hAnsiTheme="minorHAnsi" w:cstheme="majorBidi" w:hint="eastAsia"/>
          <w:lang w:eastAsia="zh-CN"/>
        </w:rPr>
        <w:t>候选人可能会在成员国为其助选而举办的活动上发表公开演讲，概要介绍候选人对国际电联愿景的展望。亦可能准备这方面的书面材料。那些已在国际电联任职的候选人应尽可能表达纯粹作为候选人的个人观点，而不引起他人对其独立于成员国的立场、公正性和对国际电联忠诚的质疑。把重点放在批评国际电联和</w:t>
      </w:r>
      <w:r w:rsidRPr="00AD4682">
        <w:rPr>
          <w:rFonts w:asciiTheme="minorHAnsi" w:eastAsiaTheme="minorEastAsia" w:hAnsiTheme="minorHAnsi" w:cstheme="majorBidi" w:hint="eastAsia"/>
          <w:lang w:eastAsia="zh-CN"/>
        </w:rPr>
        <w:t>/</w:t>
      </w:r>
      <w:r w:rsidRPr="00AD4682">
        <w:rPr>
          <w:rFonts w:asciiTheme="minorHAnsi" w:eastAsiaTheme="minorEastAsia" w:hAnsiTheme="minorHAnsi" w:cstheme="majorBidi" w:hint="eastAsia"/>
          <w:lang w:eastAsia="zh-CN"/>
        </w:rPr>
        <w:t>或其他候选人而不是提出</w:t>
      </w:r>
      <w:proofErr w:type="gramStart"/>
      <w:r w:rsidRPr="00AD4682">
        <w:rPr>
          <w:rFonts w:asciiTheme="minorHAnsi" w:eastAsiaTheme="minorEastAsia" w:hAnsiTheme="minorHAnsi" w:cstheme="majorBidi" w:hint="eastAsia"/>
          <w:lang w:eastAsia="zh-CN"/>
        </w:rPr>
        <w:t>正面愿景的</w:t>
      </w:r>
      <w:proofErr w:type="gramEnd"/>
      <w:r w:rsidRPr="00AD4682">
        <w:rPr>
          <w:rFonts w:asciiTheme="minorHAnsi" w:eastAsiaTheme="minorEastAsia" w:hAnsiTheme="minorHAnsi" w:cstheme="majorBidi" w:hint="eastAsia"/>
          <w:lang w:eastAsia="zh-CN"/>
        </w:rPr>
        <w:t>发言不符合诚信、尊严和相互尊重的基本原则，并与国际公务员忠于国际电联、不公开表达不满的义务背道而驰。根据规范外部活动（包括向新闻界发表声明和提交与国际电联的宗旨、活动或利益有关的出版资料）的法律框架的规定，</w:t>
      </w:r>
      <w:r w:rsidRPr="00AD4682">
        <w:rPr>
          <w:rFonts w:asciiTheme="minorHAnsi" w:eastAsiaTheme="minorEastAsia" w:hAnsiTheme="minorHAnsi" w:cstheme="majorBidi"/>
          <w:lang w:eastAsia="zh-CN"/>
        </w:rPr>
        <w:t>ETO</w:t>
      </w:r>
      <w:r w:rsidRPr="00AD4682">
        <w:rPr>
          <w:rFonts w:asciiTheme="minorHAnsi" w:eastAsiaTheme="minorEastAsia" w:hAnsiTheme="minorHAnsi" w:cstheme="majorBidi" w:hint="eastAsia"/>
          <w:lang w:eastAsia="zh-CN"/>
        </w:rPr>
        <w:t>可在保密的前提下，提前审查任何公开言论或出版资料并就其提出意见和建议。</w:t>
      </w:r>
    </w:p>
    <w:p w:rsidR="00830831" w:rsidRPr="00830831" w:rsidRDefault="00830831" w:rsidP="00830831">
      <w:pPr>
        <w:spacing w:before="840"/>
        <w:jc w:val="center"/>
        <w:rPr>
          <w:caps/>
          <w:lang w:eastAsia="zh-CN"/>
        </w:rPr>
      </w:pPr>
    </w:p>
    <w:p w:rsidR="00BB17C1" w:rsidRPr="00A266FF" w:rsidRDefault="00BB17C1" w:rsidP="00BB17C1">
      <w:pPr>
        <w:spacing w:before="840"/>
        <w:jc w:val="center"/>
      </w:pPr>
      <w:r>
        <w:t>___________________</w:t>
      </w:r>
    </w:p>
    <w:sectPr w:rsidR="00BB17C1" w:rsidRPr="00A266FF" w:rsidSect="002D6014">
      <w:footerReference w:type="default" r:id="rId10"/>
      <w:pgSz w:w="11907" w:h="16834"/>
      <w:pgMar w:top="1008" w:right="1138" w:bottom="1411" w:left="1138" w:header="720" w:footer="72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6FC" w:rsidRDefault="004246FC">
      <w:r>
        <w:separator/>
      </w:r>
    </w:p>
  </w:endnote>
  <w:endnote w:type="continuationSeparator" w:id="0">
    <w:p w:rsidR="004246FC" w:rsidRDefault="0042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C65" w:rsidRPr="005D2D4A" w:rsidRDefault="005D2D4A" w:rsidP="005D2D4A">
    <w:pPr>
      <w:pStyle w:val="Footer"/>
      <w:jc w:val="center"/>
      <w:rPr>
        <w:sz w:val="20"/>
        <w:szCs w:val="24"/>
      </w:rPr>
    </w:pPr>
    <w:r w:rsidRPr="005D2D4A">
      <w:rPr>
        <w:sz w:val="20"/>
        <w:szCs w:val="24"/>
      </w:rPr>
      <w:fldChar w:fldCharType="begin"/>
    </w:r>
    <w:r w:rsidRPr="005D2D4A">
      <w:rPr>
        <w:sz w:val="20"/>
        <w:szCs w:val="24"/>
      </w:rPr>
      <w:instrText xml:space="preserve"> PAGE   \* MERGEFORMAT </w:instrText>
    </w:r>
    <w:r w:rsidRPr="005D2D4A">
      <w:rPr>
        <w:sz w:val="20"/>
        <w:szCs w:val="24"/>
      </w:rPr>
      <w:fldChar w:fldCharType="separate"/>
    </w:r>
    <w:r w:rsidR="003E5E9D">
      <w:rPr>
        <w:sz w:val="20"/>
        <w:szCs w:val="24"/>
      </w:rPr>
      <w:t>2</w:t>
    </w:r>
    <w:r w:rsidRPr="005D2D4A">
      <w:rPr>
        <w:sz w:val="20"/>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6FC" w:rsidRDefault="004246FC">
      <w:r>
        <w:t>____________________</w:t>
      </w:r>
    </w:p>
  </w:footnote>
  <w:footnote w:type="continuationSeparator" w:id="0">
    <w:p w:rsidR="004246FC" w:rsidRDefault="004246FC">
      <w:r>
        <w:continuationSeparator/>
      </w:r>
    </w:p>
  </w:footnote>
  <w:footnote w:id="1">
    <w:p w:rsidR="00AD4682" w:rsidRPr="00056FCB" w:rsidRDefault="00AD4682" w:rsidP="007E466B">
      <w:pPr>
        <w:pStyle w:val="FootnoteText"/>
        <w:tabs>
          <w:tab w:val="clear" w:pos="567"/>
          <w:tab w:val="clear" w:pos="1134"/>
          <w:tab w:val="clear" w:pos="1701"/>
          <w:tab w:val="clear" w:pos="2268"/>
          <w:tab w:val="clear" w:pos="2835"/>
          <w:tab w:val="left" w:pos="794"/>
          <w:tab w:val="left" w:pos="1191"/>
          <w:tab w:val="left" w:pos="1588"/>
          <w:tab w:val="left" w:pos="1985"/>
        </w:tabs>
        <w:ind w:left="255" w:hanging="255"/>
        <w:rPr>
          <w:lang w:eastAsia="zh-CN"/>
        </w:rPr>
      </w:pPr>
      <w:r>
        <w:rPr>
          <w:rStyle w:val="FootnoteReference"/>
        </w:rPr>
        <w:footnoteRef/>
      </w:r>
      <w:r>
        <w:rPr>
          <w:rFonts w:asciiTheme="minorHAnsi" w:hAnsiTheme="minorHAnsi" w:cstheme="majorBidi" w:hint="eastAsia"/>
          <w:lang w:eastAsia="zh-CN"/>
        </w:rPr>
        <w:t xml:space="preserve"> </w:t>
      </w:r>
      <w:proofErr w:type="spellStart"/>
      <w:r w:rsidRPr="007E466B">
        <w:rPr>
          <w:rFonts w:asciiTheme="minorHAnsi" w:eastAsia="SimSun" w:hAnsiTheme="minorHAnsi" w:cstheme="majorBidi" w:hint="eastAsia"/>
          <w:lang w:eastAsia="zh-CN"/>
        </w:rPr>
        <w:t>原则上，</w:t>
      </w:r>
      <w:r w:rsidRPr="007E466B">
        <w:rPr>
          <w:rFonts w:asciiTheme="minorHAnsi" w:eastAsia="SimSun" w:hAnsiTheme="minorHAnsi" w:cstheme="majorBidi"/>
          <w:lang w:eastAsia="zh-CN"/>
        </w:rPr>
        <w:t>ETO</w:t>
      </w:r>
      <w:r w:rsidRPr="007E466B">
        <w:rPr>
          <w:rFonts w:asciiTheme="minorHAnsi" w:eastAsia="SimSun" w:hAnsiTheme="minorHAnsi" w:cstheme="majorBidi" w:hint="eastAsia"/>
          <w:lang w:eastAsia="zh-CN"/>
        </w:rPr>
        <w:t>认为，在候选人身份正式确定步骤完成之前，其竞选活动应得到限制</w:t>
      </w:r>
      <w:proofErr w:type="spellEnd"/>
      <w:r w:rsidRPr="007E466B">
        <w:rPr>
          <w:rFonts w:asciiTheme="minorHAnsi" w:eastAsia="SimSun" w:hAnsiTheme="minorHAnsi" w:cstheme="majorBidi" w:hint="eastAsia"/>
          <w:lang w:eastAsia="zh-C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2EF071D7"/>
    <w:multiLevelType w:val="hybridMultilevel"/>
    <w:tmpl w:val="457AC0AE"/>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965A0A"/>
    <w:multiLevelType w:val="hybridMultilevel"/>
    <w:tmpl w:val="5F4C3974"/>
    <w:lvl w:ilvl="0" w:tplc="670A7440">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5573C4"/>
    <w:multiLevelType w:val="hybridMultilevel"/>
    <w:tmpl w:val="042AFB3E"/>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817BD6"/>
    <w:multiLevelType w:val="hybridMultilevel"/>
    <w:tmpl w:val="340ABB6A"/>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946D5E"/>
    <w:multiLevelType w:val="hybridMultilevel"/>
    <w:tmpl w:val="636C9E58"/>
    <w:lvl w:ilvl="0" w:tplc="076294B0">
      <w:start w:val="1"/>
      <w:numFmt w:val="decimal"/>
      <w:lvlText w:val="%1."/>
      <w:lvlJc w:val="left"/>
      <w:pPr>
        <w:ind w:left="360" w:hanging="360"/>
      </w:pPr>
      <w:rPr>
        <w:rFonts w:asciiTheme="minorHAnsi" w:eastAsiaTheme="minorHAnsi" w:hAnsiTheme="minorHAns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B5D42BC"/>
    <w:multiLevelType w:val="hybridMultilevel"/>
    <w:tmpl w:val="E550F1F4"/>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6A1619"/>
    <w:multiLevelType w:val="hybridMultilevel"/>
    <w:tmpl w:val="CC12496C"/>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6"/>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9E0"/>
    <w:rsid w:val="000210D4"/>
    <w:rsid w:val="00025D98"/>
    <w:rsid w:val="00031440"/>
    <w:rsid w:val="00055EAA"/>
    <w:rsid w:val="00063016"/>
    <w:rsid w:val="00066795"/>
    <w:rsid w:val="00076AF6"/>
    <w:rsid w:val="00085CF2"/>
    <w:rsid w:val="000B11B8"/>
    <w:rsid w:val="000B1705"/>
    <w:rsid w:val="000D75B2"/>
    <w:rsid w:val="001121F5"/>
    <w:rsid w:val="001269BB"/>
    <w:rsid w:val="001400DC"/>
    <w:rsid w:val="00140CE1"/>
    <w:rsid w:val="0017539C"/>
    <w:rsid w:val="00175AC2"/>
    <w:rsid w:val="0017609F"/>
    <w:rsid w:val="001859E0"/>
    <w:rsid w:val="001C51D9"/>
    <w:rsid w:val="001C628E"/>
    <w:rsid w:val="001E0F7B"/>
    <w:rsid w:val="002119FD"/>
    <w:rsid w:val="002130E0"/>
    <w:rsid w:val="00245671"/>
    <w:rsid w:val="00264425"/>
    <w:rsid w:val="00265875"/>
    <w:rsid w:val="00267558"/>
    <w:rsid w:val="0027303B"/>
    <w:rsid w:val="0028109B"/>
    <w:rsid w:val="002A2188"/>
    <w:rsid w:val="002B1F58"/>
    <w:rsid w:val="002C1C7A"/>
    <w:rsid w:val="002D6014"/>
    <w:rsid w:val="0030160F"/>
    <w:rsid w:val="003071FA"/>
    <w:rsid w:val="00322D0D"/>
    <w:rsid w:val="00390FD7"/>
    <w:rsid w:val="003922CC"/>
    <w:rsid w:val="003942D4"/>
    <w:rsid w:val="003958A8"/>
    <w:rsid w:val="003A439D"/>
    <w:rsid w:val="003C2533"/>
    <w:rsid w:val="003E398A"/>
    <w:rsid w:val="003E5E9D"/>
    <w:rsid w:val="0040435A"/>
    <w:rsid w:val="00416A24"/>
    <w:rsid w:val="004246FC"/>
    <w:rsid w:val="00431D9E"/>
    <w:rsid w:val="00433CE8"/>
    <w:rsid w:val="00434A5C"/>
    <w:rsid w:val="004544D9"/>
    <w:rsid w:val="00471456"/>
    <w:rsid w:val="00485048"/>
    <w:rsid w:val="00490E72"/>
    <w:rsid w:val="00491157"/>
    <w:rsid w:val="004921C8"/>
    <w:rsid w:val="004A4F7F"/>
    <w:rsid w:val="004A5065"/>
    <w:rsid w:val="004D1851"/>
    <w:rsid w:val="004D599D"/>
    <w:rsid w:val="004E2EA5"/>
    <w:rsid w:val="004E3AEB"/>
    <w:rsid w:val="004F1412"/>
    <w:rsid w:val="0050223C"/>
    <w:rsid w:val="00504863"/>
    <w:rsid w:val="005243FF"/>
    <w:rsid w:val="00554FA8"/>
    <w:rsid w:val="00564FBC"/>
    <w:rsid w:val="00582442"/>
    <w:rsid w:val="005A3CCD"/>
    <w:rsid w:val="005D1ED6"/>
    <w:rsid w:val="005D2D4A"/>
    <w:rsid w:val="005F3269"/>
    <w:rsid w:val="00604744"/>
    <w:rsid w:val="00623AE3"/>
    <w:rsid w:val="0064737F"/>
    <w:rsid w:val="006535F1"/>
    <w:rsid w:val="0065557D"/>
    <w:rsid w:val="00662984"/>
    <w:rsid w:val="006716BB"/>
    <w:rsid w:val="00695411"/>
    <w:rsid w:val="006B4C15"/>
    <w:rsid w:val="006B6680"/>
    <w:rsid w:val="006B6DCC"/>
    <w:rsid w:val="00702DEF"/>
    <w:rsid w:val="00706861"/>
    <w:rsid w:val="00715FFC"/>
    <w:rsid w:val="0075051B"/>
    <w:rsid w:val="00781ABD"/>
    <w:rsid w:val="00793188"/>
    <w:rsid w:val="00794D34"/>
    <w:rsid w:val="007E466B"/>
    <w:rsid w:val="008072F2"/>
    <w:rsid w:val="00813E5E"/>
    <w:rsid w:val="00830831"/>
    <w:rsid w:val="0083581B"/>
    <w:rsid w:val="00864084"/>
    <w:rsid w:val="00864AFF"/>
    <w:rsid w:val="008B4A6A"/>
    <w:rsid w:val="008C7E27"/>
    <w:rsid w:val="008D13C4"/>
    <w:rsid w:val="008D7C48"/>
    <w:rsid w:val="00913E12"/>
    <w:rsid w:val="009173EF"/>
    <w:rsid w:val="00932906"/>
    <w:rsid w:val="00961B0B"/>
    <w:rsid w:val="009830C0"/>
    <w:rsid w:val="009B38C3"/>
    <w:rsid w:val="009E17BD"/>
    <w:rsid w:val="009E485A"/>
    <w:rsid w:val="009F129B"/>
    <w:rsid w:val="00A04CEC"/>
    <w:rsid w:val="00A0779B"/>
    <w:rsid w:val="00A27F92"/>
    <w:rsid w:val="00A31F27"/>
    <w:rsid w:val="00A32257"/>
    <w:rsid w:val="00A36D20"/>
    <w:rsid w:val="00A54470"/>
    <w:rsid w:val="00A55622"/>
    <w:rsid w:val="00A70EC6"/>
    <w:rsid w:val="00A83502"/>
    <w:rsid w:val="00AD15B3"/>
    <w:rsid w:val="00AD4682"/>
    <w:rsid w:val="00AF6E49"/>
    <w:rsid w:val="00B04A67"/>
    <w:rsid w:val="00B0583C"/>
    <w:rsid w:val="00B11FB3"/>
    <w:rsid w:val="00B160F4"/>
    <w:rsid w:val="00B36A04"/>
    <w:rsid w:val="00B40A81"/>
    <w:rsid w:val="00B44910"/>
    <w:rsid w:val="00B72267"/>
    <w:rsid w:val="00B76EB6"/>
    <w:rsid w:val="00B7737B"/>
    <w:rsid w:val="00B824C8"/>
    <w:rsid w:val="00B86C65"/>
    <w:rsid w:val="00BB17C1"/>
    <w:rsid w:val="00BC251A"/>
    <w:rsid w:val="00BD032B"/>
    <w:rsid w:val="00BE2640"/>
    <w:rsid w:val="00C01189"/>
    <w:rsid w:val="00C374DE"/>
    <w:rsid w:val="00C47AD4"/>
    <w:rsid w:val="00C52D81"/>
    <w:rsid w:val="00C55198"/>
    <w:rsid w:val="00CA5CF2"/>
    <w:rsid w:val="00CA6393"/>
    <w:rsid w:val="00CB18FF"/>
    <w:rsid w:val="00CD0C08"/>
    <w:rsid w:val="00CD3988"/>
    <w:rsid w:val="00CE03FB"/>
    <w:rsid w:val="00CE433C"/>
    <w:rsid w:val="00CF33F3"/>
    <w:rsid w:val="00D04E39"/>
    <w:rsid w:val="00D06183"/>
    <w:rsid w:val="00D11334"/>
    <w:rsid w:val="00D22C42"/>
    <w:rsid w:val="00D34935"/>
    <w:rsid w:val="00D65041"/>
    <w:rsid w:val="00DB384B"/>
    <w:rsid w:val="00DD08A7"/>
    <w:rsid w:val="00E10E80"/>
    <w:rsid w:val="00E124F0"/>
    <w:rsid w:val="00E60F04"/>
    <w:rsid w:val="00E854E4"/>
    <w:rsid w:val="00EA72B3"/>
    <w:rsid w:val="00EB0D6F"/>
    <w:rsid w:val="00EB2232"/>
    <w:rsid w:val="00EC5337"/>
    <w:rsid w:val="00EE3132"/>
    <w:rsid w:val="00F2150A"/>
    <w:rsid w:val="00F231D8"/>
    <w:rsid w:val="00F46C5F"/>
    <w:rsid w:val="00F5157E"/>
    <w:rsid w:val="00F90FD3"/>
    <w:rsid w:val="00F94A63"/>
    <w:rsid w:val="00FA1C28"/>
    <w:rsid w:val="00FB7596"/>
    <w:rsid w:val="00FE4077"/>
    <w:rsid w:val="00FE41D7"/>
    <w:rsid w:val="00FE77D2"/>
    <w:rsid w:val="00FF6C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715FFC"/>
    <w:pPr>
      <w:keepNext/>
      <w:keepLines/>
      <w:spacing w:before="480"/>
      <w:ind w:left="567" w:hanging="567"/>
      <w:outlineLvl w:val="0"/>
    </w:pPr>
    <w:rPr>
      <w:b/>
      <w:color w:val="00A3E0"/>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830C0"/>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3E398A"/>
    <w:pPr>
      <w:tabs>
        <w:tab w:val="clear" w:pos="567"/>
        <w:tab w:val="clear" w:pos="1134"/>
        <w:tab w:val="clear" w:pos="1701"/>
        <w:tab w:val="clear" w:pos="2268"/>
        <w:tab w:val="clear" w:pos="283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table" w:styleId="TableGrid">
    <w:name w:val="Table Grid"/>
    <w:basedOn w:val="TableNormal"/>
    <w:uiPriority w:val="39"/>
    <w:rsid w:val="003E39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3E398A"/>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semiHidden/>
    <w:unhideWhenUsed/>
    <w:rsid w:val="0024567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45671"/>
    <w:rPr>
      <w:rFonts w:ascii="Segoe UI" w:hAnsi="Segoe UI" w:cs="Segoe UI"/>
      <w:sz w:val="18"/>
      <w:szCs w:val="18"/>
      <w:lang w:val="en-GB" w:eastAsia="en-US"/>
    </w:rPr>
  </w:style>
  <w:style w:type="paragraph" w:customStyle="1" w:styleId="SimpleHeading">
    <w:name w:val="Simple Heading"/>
    <w:basedOn w:val="Normal"/>
    <w:link w:val="SimpleHeadingChar"/>
    <w:qFormat/>
    <w:rsid w:val="009F129B"/>
    <w:pPr>
      <w:keepNext/>
      <w:tabs>
        <w:tab w:val="clear" w:pos="567"/>
        <w:tab w:val="clear" w:pos="1134"/>
        <w:tab w:val="clear" w:pos="1701"/>
        <w:tab w:val="clear" w:pos="2268"/>
        <w:tab w:val="clear" w:pos="283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9F129B"/>
    <w:rPr>
      <w:rFonts w:asciiTheme="minorHAnsi" w:eastAsiaTheme="minorHAnsi" w:hAnsiTheme="minorHAnsi" w:cstheme="minorBidi"/>
      <w:b/>
      <w:sz w:val="22"/>
      <w:szCs w:val="22"/>
      <w:lang w:eastAsia="en-US"/>
    </w:rPr>
  </w:style>
  <w:style w:type="paragraph" w:styleId="Caption">
    <w:name w:val="caption"/>
    <w:basedOn w:val="Normal"/>
    <w:next w:val="Normal"/>
    <w:uiPriority w:val="35"/>
    <w:unhideWhenUsed/>
    <w:qFormat/>
    <w:rsid w:val="009F129B"/>
    <w:pPr>
      <w:keepNext/>
      <w:tabs>
        <w:tab w:val="clear" w:pos="567"/>
        <w:tab w:val="clear" w:pos="1134"/>
        <w:tab w:val="clear" w:pos="1701"/>
        <w:tab w:val="clear" w:pos="2268"/>
        <w:tab w:val="clear" w:pos="2835"/>
      </w:tabs>
      <w:overflowPunct/>
      <w:autoSpaceDE/>
      <w:autoSpaceDN/>
      <w:adjustRightInd/>
      <w:spacing w:before="180" w:after="60"/>
      <w:jc w:val="both"/>
      <w:textAlignment w:val="auto"/>
    </w:pPr>
    <w:rPr>
      <w:rFonts w:asciiTheme="minorHAnsi" w:eastAsiaTheme="minorHAnsi" w:hAnsiTheme="minorHAnsi" w:cstheme="minorBidi"/>
      <w:b/>
      <w:iCs/>
      <w:sz w:val="22"/>
      <w:szCs w:val="18"/>
      <w:lang w:val="en-US"/>
    </w:rPr>
  </w:style>
  <w:style w:type="paragraph" w:styleId="Title">
    <w:name w:val="Title"/>
    <w:basedOn w:val="Normal"/>
    <w:link w:val="TitleChar"/>
    <w:qFormat/>
    <w:rsid w:val="002D6014"/>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hAnsi="Arial"/>
      <w:b/>
      <w:bCs/>
      <w:sz w:val="22"/>
      <w:szCs w:val="24"/>
      <w:lang w:val="en-US"/>
    </w:rPr>
  </w:style>
  <w:style w:type="character" w:customStyle="1" w:styleId="TitleChar">
    <w:name w:val="Title Char"/>
    <w:basedOn w:val="DefaultParagraphFont"/>
    <w:link w:val="Title"/>
    <w:rsid w:val="002D6014"/>
    <w:rPr>
      <w:rFonts w:ascii="Arial" w:hAnsi="Arial"/>
      <w:b/>
      <w:bCs/>
      <w:sz w:val="22"/>
      <w:szCs w:val="24"/>
      <w:lang w:eastAsia="en-US"/>
    </w:rPr>
  </w:style>
  <w:style w:type="character" w:customStyle="1" w:styleId="FootnoteTextChar">
    <w:name w:val="Footnote Text Char"/>
    <w:basedOn w:val="DefaultParagraphFont"/>
    <w:link w:val="FootnoteText"/>
    <w:uiPriority w:val="99"/>
    <w:rsid w:val="00BB17C1"/>
    <w:rPr>
      <w:rFonts w:ascii="Calibri" w:hAnsi="Calibri"/>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715FFC"/>
    <w:pPr>
      <w:keepNext/>
      <w:keepLines/>
      <w:spacing w:before="480"/>
      <w:ind w:left="567" w:hanging="567"/>
      <w:outlineLvl w:val="0"/>
    </w:pPr>
    <w:rPr>
      <w:b/>
      <w:color w:val="00A3E0"/>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830C0"/>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3E398A"/>
    <w:pPr>
      <w:tabs>
        <w:tab w:val="clear" w:pos="567"/>
        <w:tab w:val="clear" w:pos="1134"/>
        <w:tab w:val="clear" w:pos="1701"/>
        <w:tab w:val="clear" w:pos="2268"/>
        <w:tab w:val="clear" w:pos="283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table" w:styleId="TableGrid">
    <w:name w:val="Table Grid"/>
    <w:basedOn w:val="TableNormal"/>
    <w:uiPriority w:val="39"/>
    <w:rsid w:val="003E39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3E398A"/>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semiHidden/>
    <w:unhideWhenUsed/>
    <w:rsid w:val="0024567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45671"/>
    <w:rPr>
      <w:rFonts w:ascii="Segoe UI" w:hAnsi="Segoe UI" w:cs="Segoe UI"/>
      <w:sz w:val="18"/>
      <w:szCs w:val="18"/>
      <w:lang w:val="en-GB" w:eastAsia="en-US"/>
    </w:rPr>
  </w:style>
  <w:style w:type="paragraph" w:customStyle="1" w:styleId="SimpleHeading">
    <w:name w:val="Simple Heading"/>
    <w:basedOn w:val="Normal"/>
    <w:link w:val="SimpleHeadingChar"/>
    <w:qFormat/>
    <w:rsid w:val="009F129B"/>
    <w:pPr>
      <w:keepNext/>
      <w:tabs>
        <w:tab w:val="clear" w:pos="567"/>
        <w:tab w:val="clear" w:pos="1134"/>
        <w:tab w:val="clear" w:pos="1701"/>
        <w:tab w:val="clear" w:pos="2268"/>
        <w:tab w:val="clear" w:pos="283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9F129B"/>
    <w:rPr>
      <w:rFonts w:asciiTheme="minorHAnsi" w:eastAsiaTheme="minorHAnsi" w:hAnsiTheme="minorHAnsi" w:cstheme="minorBidi"/>
      <w:b/>
      <w:sz w:val="22"/>
      <w:szCs w:val="22"/>
      <w:lang w:eastAsia="en-US"/>
    </w:rPr>
  </w:style>
  <w:style w:type="paragraph" w:styleId="Caption">
    <w:name w:val="caption"/>
    <w:basedOn w:val="Normal"/>
    <w:next w:val="Normal"/>
    <w:uiPriority w:val="35"/>
    <w:unhideWhenUsed/>
    <w:qFormat/>
    <w:rsid w:val="009F129B"/>
    <w:pPr>
      <w:keepNext/>
      <w:tabs>
        <w:tab w:val="clear" w:pos="567"/>
        <w:tab w:val="clear" w:pos="1134"/>
        <w:tab w:val="clear" w:pos="1701"/>
        <w:tab w:val="clear" w:pos="2268"/>
        <w:tab w:val="clear" w:pos="2835"/>
      </w:tabs>
      <w:overflowPunct/>
      <w:autoSpaceDE/>
      <w:autoSpaceDN/>
      <w:adjustRightInd/>
      <w:spacing w:before="180" w:after="60"/>
      <w:jc w:val="both"/>
      <w:textAlignment w:val="auto"/>
    </w:pPr>
    <w:rPr>
      <w:rFonts w:asciiTheme="minorHAnsi" w:eastAsiaTheme="minorHAnsi" w:hAnsiTheme="minorHAnsi" w:cstheme="minorBidi"/>
      <w:b/>
      <w:iCs/>
      <w:sz w:val="22"/>
      <w:szCs w:val="18"/>
      <w:lang w:val="en-US"/>
    </w:rPr>
  </w:style>
  <w:style w:type="paragraph" w:styleId="Title">
    <w:name w:val="Title"/>
    <w:basedOn w:val="Normal"/>
    <w:link w:val="TitleChar"/>
    <w:qFormat/>
    <w:rsid w:val="002D6014"/>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hAnsi="Arial"/>
      <w:b/>
      <w:bCs/>
      <w:sz w:val="22"/>
      <w:szCs w:val="24"/>
      <w:lang w:val="en-US"/>
    </w:rPr>
  </w:style>
  <w:style w:type="character" w:customStyle="1" w:styleId="TitleChar">
    <w:name w:val="Title Char"/>
    <w:basedOn w:val="DefaultParagraphFont"/>
    <w:link w:val="Title"/>
    <w:rsid w:val="002D6014"/>
    <w:rPr>
      <w:rFonts w:ascii="Arial" w:hAnsi="Arial"/>
      <w:b/>
      <w:bCs/>
      <w:sz w:val="22"/>
      <w:szCs w:val="24"/>
      <w:lang w:eastAsia="en-US"/>
    </w:rPr>
  </w:style>
  <w:style w:type="character" w:customStyle="1" w:styleId="FootnoteTextChar">
    <w:name w:val="Footnote Text Char"/>
    <w:basedOn w:val="DefaultParagraphFont"/>
    <w:link w:val="FootnoteText"/>
    <w:uiPriority w:val="99"/>
    <w:rsid w:val="00BB17C1"/>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26821">
      <w:bodyDiv w:val="1"/>
      <w:marLeft w:val="0"/>
      <w:marRight w:val="0"/>
      <w:marTop w:val="0"/>
      <w:marBottom w:val="0"/>
      <w:divBdr>
        <w:top w:val="none" w:sz="0" w:space="0" w:color="auto"/>
        <w:left w:val="none" w:sz="0" w:space="0" w:color="auto"/>
        <w:bottom w:val="none" w:sz="0" w:space="0" w:color="auto"/>
        <w:right w:val="none" w:sz="0" w:space="0" w:color="auto"/>
      </w:divBdr>
    </w:div>
    <w:div w:id="122972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6F556-43EC-4F52-A0DA-A9169DBA6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6</TotalTime>
  <Pages>3</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2344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C2018, C18</dc:title>
  <dc:subject>Council 2018</dc:subject>
  <dc:creator>Brouard, Ricarda</dc:creator>
  <cp:lastModifiedBy>Tao, Yingsheng</cp:lastModifiedBy>
  <cp:revision>5</cp:revision>
  <cp:lastPrinted>2000-07-18T13:30:00Z</cp:lastPrinted>
  <dcterms:created xsi:type="dcterms:W3CDTF">2018-06-14T13:36:00Z</dcterms:created>
  <dcterms:modified xsi:type="dcterms:W3CDTF">2018-06-14T13:42:00Z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